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E1EEA" Type="http://schemas.openxmlformats.org/officeDocument/2006/relationships/officeDocument" Target="/word/document.xml" /><Relationship Id="coreR46BE1EEA" Type="http://schemas.openxmlformats.org/package/2006/relationships/metadata/core-properties" Target="/docProps/core.xml" /><Relationship Id="customR46BE1E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na kanalizační síti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28.9.2026 21:25:14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Kompetence: Orientace ve vodohospodářské legislativě a předpisech souvisejících s provozováním kanalizace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18, 19, 20, 21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provozní schéma kanalizace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(tlaky, hladiny v akumulacích, chody čerpadel apod.)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4) Kompetence: Vedení technickoprovozní dokumentace kanalizační sítě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technické výkresy a pasporty kanalizační sítě v listinné a elektronické podobě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na kanalizační síti včetně komunikace se zákazníky, např.: porucha na kanalizační síti, objektu, čerpací stanici odpadních vod apod. Modelové situace jednání např. s objektivně nespokojeným či verbálně hrubým zákazníkem.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 nebo kanalizační sítě).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28.9.2026 21:25:14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28.9.2026 21:25:14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