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5109D" Type="http://schemas.openxmlformats.org/officeDocument/2006/relationships/officeDocument" Target="/word/document.xml" /><Relationship Id="coreR1AF5109D" Type="http://schemas.openxmlformats.org/package/2006/relationships/metadata/core-properties" Target="/docProps/core.xml" /><Relationship Id="customR1AF510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na kanalizační síti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28.9.2026 18:00:25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Kompetence: Orientace ve vodohospodářské legislativě a předpisech souvisejících s provozováním kanalizace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18, 19, 20, 21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provozní schéma kanalizace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(tlaky, hladiny v akumulacích, chody čerpadel apod.)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4) Kompetence: Vedení technickoprovozní dokumentace kanalizační sítě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technické výkresy a pasporty kanalizační sítě v listinné a elektronické podobě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na kanalizační síti včetně komunikace se zákazníky, např.: porucha na kanalizační síti, objektu, čerpací stanici odpadních vod apod. Modelové situace jednání např. s objektivně nespokojeným či verbálně hrubým zákazníkem.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 nebo kanalizační sítě).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28.9.2026 18:00:25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28.9.2026 18:00:25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