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2CE979" Type="http://schemas.openxmlformats.org/officeDocument/2006/relationships/officeDocument" Target="/word/document.xml" /><Relationship Id="coreR592CE979" Type="http://schemas.openxmlformats.org/package/2006/relationships/metadata/core-properties" Target="/docProps/core.xml" /><Relationship Id="customR592CE9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Lepič vrstvených konstrukcí letadel (kód: 23-133-H)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Lepič vrstvených konstrukcí letadel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letecké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jednotlivých dílů letounu před lepením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lepidel a tmelů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Zalévání elektrických součástek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Impregnace a hermetizace součástí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Lepení kovových sendvičových konstrukcí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Lepení dílů foliovým a semipregovým lepidlem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Lepení prvků zabezpečujících odlednění na letounu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Úpravy a dokončování povrchů součástí broušením a leštěním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11.04.2017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Lepič vrstvených konstrukcí letadel, 29.10.2026 10:03:14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http://katalog.nsp.cz/karta_p.aspx?id_jp=103016).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lepiče vrstvených konstrukcí letadel. Ve vyjádřeních kritérií hodnocení způsobilostí týkajících se přípravy povrchů, jejich lepení, broušení, lapování a popřípadě dalších úprav se pro účely zkoušky předpokládá velikost konstrukčního dílcu letadla cca 0,1 až 0,3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Lepič vrstvených konstrukcí letadel, 29.10.2026 10:03:14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Latecoere Czech Republic (původní název byl LETOV LETECKÁ VÝROBA, s. r. o.)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EVEKTOR-AEROTECHNIK,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a Obchodní akademie Uherský Brod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Lepič vrstvených konstrukcí letadel, 29.10.2026 10:03:14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