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EEE28" Type="http://schemas.openxmlformats.org/officeDocument/2006/relationships/officeDocument" Target="/word/document.xml" /><Relationship Id="coreR684EEE28" Type="http://schemas.openxmlformats.org/package/2006/relationships/metadata/core-properties" Target="/docProps/core.xml" /><Relationship Id="customR684EEE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příslušné báňské předpisy, zejména vyhláška č. 22/1989 Sb., vyhl. č. 26/1989 Sb., a vyhl. č. 51/1989 Sb.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