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761A63" Type="http://schemas.openxmlformats.org/officeDocument/2006/relationships/officeDocument" Target="/word/document.xml" /><Relationship Id="coreRF761A63" Type="http://schemas.openxmlformats.org/package/2006/relationships/metadata/core-properties" Target="/docProps/core.xml" /><Relationship Id="customRF761A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2:29:03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týkající se výkonu povolání v rámci této profesní kvalifikace stanoví příslušné báňské předpisy, zejména vyhláška č. 22/1989 Sb., vyhl. č. 26/1989 Sb., a vyhl. č. 51/1989 Sb., ve znění pozdějších předpisů..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hodnocení, u kterých je jako způsob ověření uvedeno praktické předvedení a ústní ověření, uchazeč prakticky předvádí daný úkol dle zadání a poté je v případě potřeby zkušební komisí dotazován.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2:29:03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2:29:03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