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97A304" Type="http://schemas.openxmlformats.org/officeDocument/2006/relationships/officeDocument" Target="/word/document.xml" /><Relationship Id="coreR1397A304" Type="http://schemas.openxmlformats.org/package/2006/relationships/metadata/core-properties" Target="/docProps/core.xml" /><Relationship Id="customR1397A3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ekolog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 a ochrany životního prostředí.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způsoby „praktické předvedení" a „praktické předvedení a ústní ověření“ je třeba přihlížet především k bezpečnému provádění všech úkonů a kvalitě provedení operací uchazečem.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"písemné ověřování" je uchazeči zadán úkol, uchazeč vypracuje podle zadání popis, charakteristiku, seznam požadavků, parametrů.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recyklaci, 11.9.2026 20:30:47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