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F4CEB5" Type="http://schemas.openxmlformats.org/officeDocument/2006/relationships/officeDocument" Target="/word/document.xml" /><Relationship Id="coreR65F4CEB5" Type="http://schemas.openxmlformats.org/package/2006/relationships/metadata/core-properties" Target="/docProps/core.xml" /><Relationship Id="customR65F4CE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brašnářské výrobě, 27.10.2026 2:22:58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27.10.2026 2:22:58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27.10.2026 2:22:58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brašnářské výrobě, 27.10.2026 2:22:58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32-001-H Brašnář/brašnářka nebo 32-038-E Dělník/dělnice v brašnářské výrobě a střední vzdělání s maturitní zkouškou a alespoň 5 let odborné praxe kožedělné výroby nebo ve funkci učitele odborného výcviku nebo praktického vyučování v oblasti kožedělné výroby.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67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Dělník/dělnice v brašnářské výrobě, 27.10.2026 2:22:58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brašnářské výrobě, 27.10.2026 2:22:58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Dělník/dělnice v brašnářské výrobě, 27.10.2026 2:22:58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A36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A39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68D7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