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40E260" Type="http://schemas.openxmlformats.org/officeDocument/2006/relationships/officeDocument" Target="/word/document.xml" /><Relationship Id="coreR7C40E260" Type="http://schemas.openxmlformats.org/package/2006/relationships/metadata/core-properties" Target="/docProps/core.xml" /><Relationship Id="customR7C40E2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vozby (kód: 37-062-N)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vozby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Kontrola dodržování technologických postupů a předpisů v železničním depu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stavu železničních vagonů a jejich výběr pro vlakové soupravy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vlakových brzd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normách a v technické dokumentaci železničních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Zaškolování provozních zaměstnanců železničního dopravce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technických prohlídek železničních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Kontrola dodržování technologických postupů a předpisů v železničním depu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technologické a předpisové kázně v železničním depu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předpisy pro železniční depo</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postup při kontrole technologických postupů a předpisů na železnici</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Kontrola stavu železničních vagonů a jejich výběr pro vlakové soupravy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Vysvětlit zásady a pravidla sestavování vlakových souprav</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a vysvětlit zásady kontroly stavu železničních vozidel</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zajištění činnosti pri mimořádnostech v železniční dopravě</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zkoušek vlakových brzd</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funkce jednotlivých druhů brzd a jejich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Předvést postup při zkoušce průběžné brzdy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Předvést postup k obsluze ruční brzdy</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 a ústní ověření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Popsat postup při poruše brzd</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Ústní ověření</w:t>
      </w:r>
    </w:p>
    <w:p>
      <w:pPr>
        <w:pStyle w:val="P32"/>
        <w:framePr w:w="10710" w:h="248" w:hRule="exact" w:wrap="none" w:vAnchor="page" w:hAnchor="margin" w:x="28" w:y="10363"/>
        <w:rPr>
          <w:rStyle w:val="C23"/>
          <w:rtl w:val="0"/>
        </w:rPr>
      </w:pPr>
      <w:r>
        <w:rPr>
          <w:rStyle w:val="C23"/>
          <w:rtl w:val="0"/>
        </w:rPr>
        <w:t>Je třeba splnit všechna kritéria.</w:t>
      </w:r>
    </w:p>
    <w:p>
      <w:pPr>
        <w:pStyle w:val="P23"/>
        <w:framePr w:w="10710" w:h="340" w:hRule="exact" w:wrap="none" w:vAnchor="page" w:hAnchor="margin" w:x="28" w:y="10798"/>
        <w:rPr>
          <w:rStyle w:val="C18"/>
          <w:rtl w:val="0"/>
        </w:rPr>
      </w:pPr>
      <w:r>
        <w:rPr>
          <w:rStyle w:val="C18"/>
          <w:rtl w:val="0"/>
        </w:rPr>
        <w:t>Orientace v normách a v technické dokumentaci železničních vozidel</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607" w:hRule="exact" w:wrap="none" w:vAnchor="page" w:hAnchor="margin" w:x="45" w:y="11614"/>
        <w:rPr>
          <w:rStyle w:val="C3"/>
          <w:rtl w:val="0"/>
        </w:rPr>
      </w:pPr>
    </w:p>
    <w:p>
      <w:pPr>
        <w:pStyle w:val="P13"/>
        <w:framePr w:w="6658" w:h="480" w:hRule="exact" w:wrap="none" w:vAnchor="page" w:hAnchor="margin" w:x="71" w:y="11670"/>
        <w:rPr>
          <w:rStyle w:val="C11"/>
          <w:rtl w:val="0"/>
        </w:rPr>
      </w:pPr>
      <w:r>
        <w:rPr>
          <w:rStyle w:val="C11"/>
          <w:rtl w:val="0"/>
        </w:rPr>
        <w:t>a) Vyjmenovat nejdůležitější normy a technickou dokumentaci železničních</w:t>
        <w:br w:type="textWrapping"/>
        <w:t>vozidel</w:t>
      </w:r>
    </w:p>
    <w:p>
      <w:pPr>
        <w:pStyle w:val="P28"/>
        <w:framePr w:w="3921" w:h="607" w:hRule="exact" w:wrap="none" w:vAnchor="page" w:hAnchor="margin" w:x="6800" w:y="11614"/>
        <w:rPr>
          <w:rStyle w:val="C3"/>
          <w:rtl w:val="0"/>
        </w:rPr>
      </w:pPr>
    </w:p>
    <w:p>
      <w:pPr>
        <w:pStyle w:val="P29"/>
        <w:framePr w:w="3839" w:h="480" w:hRule="exact" w:wrap="none" w:vAnchor="page" w:hAnchor="margin" w:x="6856" w:y="11670"/>
        <w:rPr>
          <w:rStyle w:val="C21"/>
          <w:rtl w:val="0"/>
        </w:rPr>
      </w:pPr>
      <w:r>
        <w:rPr>
          <w:rStyle w:val="C21"/>
          <w:rtl w:val="0"/>
        </w:rPr>
        <w:t>Písemné ověření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b) Prokázat znalost obsahu nejdůležitějších norem a technické dokumentace</w:t>
        <w:br w:type="textWrapping"/>
        <w:t>železničních vozidel</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ověření</w:t>
      </w:r>
    </w:p>
    <w:p>
      <w:pPr>
        <w:pStyle w:val="P32"/>
        <w:framePr w:w="10710" w:h="248" w:hRule="exact" w:wrap="none" w:vAnchor="page" w:hAnchor="margin" w:x="28" w:y="12941"/>
        <w:rPr>
          <w:rStyle w:val="C23"/>
          <w:rtl w:val="0"/>
        </w:rPr>
      </w:pPr>
      <w:r>
        <w:rPr>
          <w:rStyle w:val="C23"/>
          <w:rtl w:val="0"/>
        </w:rPr>
        <w:t>Je třeba splnit obě kritéria.</w:t>
      </w:r>
    </w:p>
    <w:p>
      <w:pPr>
        <w:pStyle w:val="P23"/>
        <w:framePr w:w="10710" w:h="340" w:hRule="exact" w:wrap="none" w:vAnchor="page" w:hAnchor="margin" w:x="28" w:y="13377"/>
        <w:rPr>
          <w:rStyle w:val="C18"/>
          <w:rtl w:val="0"/>
        </w:rPr>
      </w:pPr>
      <w:r>
        <w:rPr>
          <w:rStyle w:val="C18"/>
          <w:rtl w:val="0"/>
        </w:rPr>
        <w:t>Zaškolování provozních zaměstnanců železničního dopravce</w:t>
      </w:r>
    </w:p>
    <w:p>
      <w:pPr>
        <w:pStyle w:val="P24"/>
        <w:framePr w:w="6713" w:h="376" w:hRule="exact" w:wrap="none" w:vAnchor="page" w:hAnchor="margin" w:x="45" w:y="13816"/>
        <w:rPr>
          <w:rStyle w:val="C3"/>
          <w:rtl w:val="0"/>
        </w:rPr>
      </w:pPr>
    </w:p>
    <w:p>
      <w:pPr>
        <w:pStyle w:val="P25"/>
        <w:framePr w:w="6661" w:h="249" w:hRule="exact" w:wrap="none" w:vAnchor="page" w:hAnchor="margin" w:x="71" w:y="13887"/>
        <w:rPr>
          <w:rStyle w:val="C19"/>
          <w:rtl w:val="0"/>
        </w:rPr>
      </w:pPr>
      <w:r>
        <w:rPr>
          <w:rStyle w:val="C19"/>
          <w:rtl w:val="0"/>
        </w:rPr>
        <w:t>Kritéria hodnocení</w:t>
      </w:r>
    </w:p>
    <w:p>
      <w:pPr>
        <w:pStyle w:val="P26"/>
        <w:framePr w:w="3918" w:h="376" w:hRule="exact" w:wrap="none" w:vAnchor="page" w:hAnchor="margin" w:x="6803" w:y="13816"/>
        <w:rPr>
          <w:rStyle w:val="C3"/>
          <w:rtl w:val="0"/>
        </w:rPr>
      </w:pPr>
    </w:p>
    <w:p>
      <w:pPr>
        <w:pStyle w:val="P27"/>
        <w:framePr w:w="3836" w:h="249" w:hRule="exact" w:wrap="none" w:vAnchor="page" w:hAnchor="margin" w:x="6859" w:y="13887"/>
        <w:rPr>
          <w:rStyle w:val="C20"/>
          <w:rtl w:val="0"/>
        </w:rPr>
      </w:pPr>
      <w:r>
        <w:rPr>
          <w:rStyle w:val="C20"/>
          <w:rtl w:val="0"/>
        </w:rPr>
        <w:t>Způsoby ověření</w:t>
      </w:r>
    </w:p>
    <w:p>
      <w:pPr>
        <w:pStyle w:val="P12"/>
        <w:framePr w:w="6710" w:h="607" w:hRule="exact" w:wrap="none" w:vAnchor="page" w:hAnchor="margin" w:x="45" w:y="14192"/>
        <w:rPr>
          <w:rStyle w:val="C3"/>
          <w:rtl w:val="0"/>
        </w:rPr>
      </w:pPr>
    </w:p>
    <w:p>
      <w:pPr>
        <w:pStyle w:val="P13"/>
        <w:framePr w:w="6658" w:h="480" w:hRule="exact" w:wrap="none" w:vAnchor="page" w:hAnchor="margin" w:x="71" w:y="14248"/>
        <w:rPr>
          <w:rStyle w:val="C11"/>
          <w:rtl w:val="0"/>
        </w:rPr>
      </w:pPr>
      <w:r>
        <w:rPr>
          <w:rStyle w:val="C11"/>
          <w:rtl w:val="0"/>
        </w:rPr>
        <w:t>a) Vysvětlit zásady odborné způsobilosti zaměstnanců železničních dopravců</w:t>
      </w:r>
    </w:p>
    <w:p>
      <w:pPr>
        <w:pStyle w:val="P28"/>
        <w:framePr w:w="3921" w:h="607" w:hRule="exact" w:wrap="none" w:vAnchor="page" w:hAnchor="margin" w:x="6800" w:y="14192"/>
        <w:rPr>
          <w:rStyle w:val="C3"/>
          <w:rtl w:val="0"/>
        </w:rPr>
      </w:pPr>
    </w:p>
    <w:p>
      <w:pPr>
        <w:pStyle w:val="P29"/>
        <w:framePr w:w="3839" w:h="480" w:hRule="exact" w:wrap="none" w:vAnchor="page" w:hAnchor="margin" w:x="6856" w:y="14248"/>
        <w:rPr>
          <w:rStyle w:val="C21"/>
          <w:rtl w:val="0"/>
        </w:rPr>
      </w:pPr>
      <w:r>
        <w:rPr>
          <w:rStyle w:val="C21"/>
          <w:rtl w:val="0"/>
        </w:rPr>
        <w:t>Ústní ověření</w:t>
      </w:r>
    </w:p>
    <w:p>
      <w:pPr>
        <w:pStyle w:val="P16"/>
        <w:framePr w:w="6710" w:h="376" w:hRule="exact" w:wrap="none" w:vAnchor="page" w:hAnchor="margin" w:x="45" w:y="14799"/>
        <w:rPr>
          <w:rStyle w:val="C3"/>
          <w:rtl w:val="0"/>
        </w:rPr>
      </w:pPr>
    </w:p>
    <w:p>
      <w:pPr>
        <w:pStyle w:val="P17"/>
        <w:framePr w:w="6658" w:h="249" w:hRule="exact" w:wrap="none" w:vAnchor="page" w:hAnchor="margin" w:x="71" w:y="14855"/>
        <w:rPr>
          <w:rStyle w:val="C13"/>
          <w:rtl w:val="0"/>
        </w:rPr>
      </w:pPr>
      <w:r>
        <w:rPr>
          <w:rStyle w:val="C13"/>
          <w:rtl w:val="0"/>
        </w:rPr>
        <w:t>b) Popsat postupy zaškolování zaměstnanců</w:t>
      </w:r>
    </w:p>
    <w:p>
      <w:pPr>
        <w:pStyle w:val="P30"/>
        <w:framePr w:w="3921" w:h="376" w:hRule="exact" w:wrap="none" w:vAnchor="page" w:hAnchor="margin" w:x="6800" w:y="14799"/>
        <w:rPr>
          <w:rStyle w:val="C3"/>
          <w:rtl w:val="0"/>
        </w:rPr>
      </w:pPr>
    </w:p>
    <w:p>
      <w:pPr>
        <w:pStyle w:val="P31"/>
        <w:framePr w:w="3839" w:h="249" w:hRule="exact" w:wrap="none" w:vAnchor="page" w:hAnchor="margin" w:x="6856" w:y="14855"/>
        <w:rPr>
          <w:rStyle w:val="C22"/>
          <w:rtl w:val="0"/>
        </w:rPr>
      </w:pPr>
      <w:r>
        <w:rPr>
          <w:rStyle w:val="C22"/>
          <w:rtl w:val="0"/>
        </w:rPr>
        <w:t>Ústní ověření</w:t>
      </w:r>
    </w:p>
    <w:p>
      <w:pPr>
        <w:pStyle w:val="P12"/>
        <w:framePr w:w="6710" w:h="376" w:hRule="exact" w:wrap="none" w:vAnchor="page" w:hAnchor="margin" w:x="45" w:y="15175"/>
        <w:rPr>
          <w:rStyle w:val="C3"/>
          <w:rtl w:val="0"/>
        </w:rPr>
      </w:pPr>
    </w:p>
    <w:p>
      <w:pPr>
        <w:pStyle w:val="P13"/>
        <w:framePr w:w="6658" w:h="249" w:hRule="exact" w:wrap="none" w:vAnchor="page" w:hAnchor="margin" w:x="71" w:y="15231"/>
        <w:rPr>
          <w:rStyle w:val="C11"/>
          <w:rtl w:val="0"/>
        </w:rPr>
      </w:pPr>
      <w:r>
        <w:rPr>
          <w:rStyle w:val="C11"/>
          <w:rtl w:val="0"/>
        </w:rPr>
        <w:t>c) Vypracovat plán zaškolení zaměstnance</w:t>
      </w:r>
    </w:p>
    <w:p>
      <w:pPr>
        <w:pStyle w:val="P28"/>
        <w:framePr w:w="3921" w:h="376" w:hRule="exact" w:wrap="none" w:vAnchor="page" w:hAnchor="margin" w:x="6800" w:y="15175"/>
        <w:rPr>
          <w:rStyle w:val="C3"/>
          <w:rtl w:val="0"/>
        </w:rPr>
      </w:pPr>
    </w:p>
    <w:p>
      <w:pPr>
        <w:pStyle w:val="P29"/>
        <w:framePr w:w="3839" w:h="249" w:hRule="exact" w:wrap="none" w:vAnchor="page" w:hAnchor="margin" w:x="6856" w:y="15231"/>
        <w:rPr>
          <w:rStyle w:val="C21"/>
          <w:rtl w:val="0"/>
        </w:rPr>
      </w:pPr>
      <w:r>
        <w:rPr>
          <w:rStyle w:val="C21"/>
          <w:rtl w:val="0"/>
        </w:rPr>
        <w:t>Praktické předvedení a ústní ověření</w:t>
      </w:r>
    </w:p>
    <w:p>
      <w:pPr>
        <w:pStyle w:val="P32"/>
        <w:framePr w:w="10710" w:h="248" w:hRule="exact" w:wrap="none" w:vAnchor="page" w:hAnchor="margin" w:x="28" w:y="15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technických prohlídek železničních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dokumentaci technických prohlídek hnacích vozidel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a obsah technických prohlídek</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Vyplnit dokumentaci technických prohlídek hnacích vozidel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http://katalog.nsp.cz/karta_tp.aspx?id_jp=7519&amp;kod_sm1=14 ).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musí být ověřována v navazujících činnostech s využitím daných technologických postupů, zejména v oblasti technických prohlídek a obsluhy brzd železničních vozů. Při ověřování kritérií formou praktického předvedení je třeba přihlížet především k bezpečnému provádění všech úkonů i k časovému hledisku zvládání operací.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u kterých je předepsáno praktické předvedení, může být prováděno pomocí simulace.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59" w:hRule="exact" w:wrap="none" w:vAnchor="page" w:hAnchor="margin" w:x="0" w:y="9632"/>
        <w:rPr>
          <w:rStyle w:val="C3"/>
          <w:rtl w:val="0"/>
        </w:rPr>
      </w:pPr>
    </w:p>
    <w:p>
      <w:pPr>
        <w:pStyle w:val="P35"/>
        <w:framePr w:w="10710" w:h="547" w:hRule="exact" w:wrap="none" w:vAnchor="page" w:hAnchor="margin" w:x="28" w:y="9632"/>
        <w:rPr>
          <w:rStyle w:val="C25"/>
          <w:rtl w:val="0"/>
        </w:rPr>
      </w:pPr>
      <w:r>
        <w:rPr>
          <w:rStyle w:val="C25"/>
          <w:rtl w:val="0"/>
        </w:rPr>
        <w:t>Požadavky na odbornou způsobilost autorizované osoby, resp. autorizovaného zástupce autorizované osoby</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praxí v délce minimálně 5 let v typové pozici kontrolor vozby nebo ve vyšší kvalifikaci, která zahrnuje požadavky na tento kvalifikační stupeň v oblasti provozování železniční dopravy, z toho minimálně tři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železniční dopravu s praxí v délce minimálně 5 let v oblasti železniční osobní dopravy nebo ve funkci učitele praktického vyučování nebo odborného výcviku v oblasti provozování železniční dopravy, z toho minimálně dva roky v období posledních pěti let před podáním žádosti o udělení autorizace.</w:t>
      </w:r>
    </w:p>
    <w:p>
      <w:pPr>
        <w:keepNext w:val="0"/>
        <w:keepLines w:val="1"/>
        <w:framePr w:w="10766" w:h="5711" w:hRule="exact" w:wrap="none" w:vAnchor="page" w:hAnchor="margin" w:x="0" w:y="101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železniční dopravu s praxí v délce minimálně 5 let v oblasti železniční osobní dopravy nebo ve funkci učitele odborných předmětů v oblasti provozování železniční dopravy, z toho minimálně jeden rok v období posledních dvou let před podáním žádosti o udělení autorizace.</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1" w:hRule="exact" w:wrap="none" w:vAnchor="page" w:hAnchor="margin" w:x="0" w:y="101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10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4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a s přístupem do aplikací uvedených v hodnoticím standardu této profesní kvalifikace, případně do simulací těchto programů. Předpisy a dokumenty uvedené v hodnoticím standardu této profesní kvalifikace musí být k dispozici v aktuálním znění v tištěné nebo elektronické podobě.</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kompetencí je třeba mít dispozici železniční vozidlo v provozním stavu.</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850"/>
        <w:rPr>
          <w:rStyle w:val="C3"/>
          <w:rtl w:val="0"/>
        </w:rPr>
      </w:pPr>
    </w:p>
    <w:p>
      <w:pPr>
        <w:pStyle w:val="P35"/>
        <w:framePr w:w="10710" w:h="340" w:hRule="exact" w:wrap="none" w:vAnchor="page" w:hAnchor="margin" w:x="28" w:y="5850"/>
        <w:rPr>
          <w:rStyle w:val="C25"/>
          <w:rtl w:val="0"/>
        </w:rPr>
      </w:pPr>
      <w:r>
        <w:rPr>
          <w:rStyle w:val="C25"/>
          <w:rtl w:val="0"/>
        </w:rPr>
        <w:t>Doba přípravy na zkoušku</w:t>
      </w:r>
    </w:p>
    <w:p>
      <w:pPr>
        <w:keepNext w:val="0"/>
        <w:keepLines w:val="0"/>
        <w:framePr w:w="10766" w:h="1036" w:hRule="exact" w:wrap="none" w:vAnchor="page" w:hAnchor="margin" w:x="0" w:y="61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7454"/>
        <w:rPr>
          <w:rStyle w:val="C3"/>
          <w:rtl w:val="0"/>
        </w:rPr>
      </w:pPr>
    </w:p>
    <w:p>
      <w:pPr>
        <w:pStyle w:val="P35"/>
        <w:framePr w:w="10710" w:h="340" w:hRule="exact" w:wrap="none" w:vAnchor="page" w:hAnchor="margin" w:x="28" w:y="7454"/>
        <w:rPr>
          <w:rStyle w:val="C25"/>
          <w:rtl w:val="0"/>
        </w:rPr>
      </w:pPr>
      <w:r>
        <w:rPr>
          <w:rStyle w:val="C25"/>
          <w:rtl w:val="0"/>
        </w:rPr>
        <w:t>Doba pro vykonání zkoušky</w:t>
      </w:r>
    </w:p>
    <w:p>
      <w:pPr>
        <w:keepNext w:val="0"/>
        <w:keepLines w:val="0"/>
        <w:framePr w:w="10766" w:h="806" w:hRule="exact" w:wrap="none" w:vAnchor="page" w:hAnchor="margin" w:x="0" w:y="7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pStyle w:val="P21"/>
        <w:framePr w:w="7654" w:h="331" w:hRule="exact" w:wrap="none" w:vAnchor="page" w:hAnchor="margin" w:x="28" w:y="15940"/>
        <w:rPr>
          <w:rStyle w:val="C16"/>
          <w:rtl w:val="0"/>
        </w:rPr>
      </w:pPr>
      <w:r>
        <w:rPr>
          <w:rStyle w:val="C16"/>
          <w:rtl w:val="0"/>
        </w:rPr>
        <w:t>Kontrolor/kontrolorka vozby, 1.11.2026 3:16:34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2B4C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D56B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