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AB181A" Type="http://schemas.openxmlformats.org/officeDocument/2006/relationships/officeDocument" Target="/word/document.xml" /><Relationship Id="coreR1EAB181A" Type="http://schemas.openxmlformats.org/package/2006/relationships/metadata/core-properties" Target="/docProps/core.xml" /><Relationship Id="customR1EAB18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Hydraulikář/hydraulikářka v těžbě a úpravě nerostných surovin (kód: 21-071-H)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a seřizování hydraulických a pneumatických mechanismů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Hydraulikář/hydraulikářka v těžbě a úpravě nerostných surovin, 29.10.2026 12:20:12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http://katalog.nsp.cz/karta_p.aspx?id_jp=12). Podmínky stanoví vyhláška Českého báňského úřadu č. 22/1989 Sb., o bezpečnosti a ochraně zdraví při práci a bezpečnosti provozu při hornické činnosti a při dobývání nevyhrazených nerostů v podzemí, ve znění pozdějších předpisů, vyhláška č. 26/1989 Sb., o bezpečnosti a ochraně zdraví při práci a bezpečnosti provozu při hornické činnosti a při činnosti prováděné hornickým způsobem na povrchu, ve znění pozdějších předpisů a vyhláška č. 51/1989 Sb., o bezpečnosti a ochraně zdraví při práci a bezpečnosti provozu při úpravě a zušlechťování nerostů,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Hydraulikář/hydraulikářka v těžbě a úpravě nerostných surovin, 29.10.2026 12:20:12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Hydraulikář/hydraulikářka v těžbě a úpravě nerostných surovin, 29.10.2026 12:20:12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