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3818F3" Type="http://schemas.openxmlformats.org/officeDocument/2006/relationships/officeDocument" Target="/word/document.xml" /><Relationship Id="coreR723818F3" Type="http://schemas.openxmlformats.org/package/2006/relationships/metadata/core-properties" Target="/docProps/core.xml" /><Relationship Id="customR723818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Hydraulikář/hydraulikářka v těžbě a úpravě nerostných surovin (kód: 21-071-H)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a seřizování hydraulických a pneumatických mechanismů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Hydraulikář/hydraulikářka v těžbě a úpravě nerostných surovin, 29.10.2026 10:00:32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http://katalog.nsp.cz/karta_p.aspx?id_jp=12). Podmínky stanoví vyhláška Českého báňského úřadu č. 22/1989 Sb., o bezpečnosti a ochraně zdraví při práci a bezpečnosti provozu při hornické činnosti a při dobývání nevyhrazených nerostů v podzemí, ve znění pozdějších předpisů, vyhláška č. 26/1989 Sb., o bezpečnosti a ochraně zdraví při práci a bezpečnosti provozu při hornické činnosti a při činnosti prováděné hornickým způsobem na povrchu, ve znění pozdějších předpisů a vyhláška č. 51/1989 Sb., o bezpečnosti a ochraně zdraví při práci a bezpečnosti provozu při úpravě a zušlechťování nerostů,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Hydraulikář/hydraulikářka v těžbě a úpravě nerostných surovin, 29.10.2026 10:00:32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Hydraulikář/hydraulikářka v těžbě a úpravě nerostných surovin, 29.10.2026 10:00:32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