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53392" Type="http://schemas.openxmlformats.org/officeDocument/2006/relationships/officeDocument" Target="/word/document.xml" /><Relationship Id="coreRB753392" Type="http://schemas.openxmlformats.org/package/2006/relationships/metadata/core-properties" Target="/docProps/core.xml" /><Relationship Id="customRB7533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 chemicko-farmaceutická analytička a střední vzdělání s maturitní zkouškou a alespoň 5 let odborné praxe v oblasti chemie nebo farmacie.</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D025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A057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