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0F441A" Type="http://schemas.openxmlformats.org/officeDocument/2006/relationships/officeDocument" Target="/word/document.xml" /><Relationship Id="coreR2F0F441A" Type="http://schemas.openxmlformats.org/package/2006/relationships/metadata/core-properties" Target="/docProps/core.xml" /><Relationship Id="customR2F0F44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 tapisérií (kód: 82-052-H)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 tapiserií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ručně tkané tapiserii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ručně tkaných tapiserií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ručně tkané tapiserie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ručně tkané tapiserie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ručně tkaných tapiserií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31.10.2026 17:42:36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tkací jehly, tkací rám rozměru A3, kovovou vidličku, háček, velkou šicí jehlu, kreslicí potřeby na zhotovení návrhu).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ručně tkané tapiserii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co bude předmětem praktického předvedení a ústního ověření u zkoušky.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uchazeč určí materiálové složení 5 vzorků předložených materiálů a popíše jejich vlastnosti. Při ověřování kritéria hodnocení b) uchazeč určí a charakterizuje 3 základní vzory od každé techniky tkaní tapiserií.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Celkově se jedná o určování z uvedených vzorků materiálů: len, bavlna, hedvábí, vlna, ovčí rouno, nitě s různými efekty, příze PES, lýko, drát a dále ze 4 vzorků techniky gobelínové, 4 vzorků kelimu, 4 vzorků volné techniky a 4 vzorků spojek.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tapiserii dle vlastního návrhu (kolorovaná kresba A4, ručně vypracovaný technický výkres A4) zvolenými technikami v souladu s požadavky autorizované osoby.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31.10.2026 17:42:36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 tapisérií, 31.10.2026 17:42:36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