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D0C620" Type="http://schemas.openxmlformats.org/officeDocument/2006/relationships/officeDocument" Target="/word/document.xml" /><Relationship Id="coreRBD0C620" Type="http://schemas.openxmlformats.org/package/2006/relationships/metadata/core-properties" Target="/docProps/core.xml" /><Relationship Id="customRBD0C6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referent / odborná referentka pro pojištění a reklamace v přepravě (kód: 37-065-M)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disponent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úlohách a úkolech mezinárodního zasílatelství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odpovědnostním pojištění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dopravním pojištění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kvalitativních ukazatelích a parametrech zasílatelské činnosti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podkladů pro uzavření pojistky související s přepravou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reklamaci souvisejících s přepravou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úlohách a úkolech mezinárodního zasílatelství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právní postavení zasílatele a jeho vztah k zákazníkům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Prokázat orientaci v národních a mezinárodních organizacích pro zasílatelství a obchod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obecnou znalost dopravní geografie, světových dopravních toků včetně geopolitických aspektů</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Charakterizovat jednotlivé druhy dopravy s ohledem na typ komodity, čas, místo a spolehlivost doručení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odpovědnostním pojištění</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Popsat politiku pojištění odpovědnosti a odpovědnost jednotlivých stran včetně pokrytí rizika tímto druhem pojištění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Popsat vztah odpovědnostního pojištění ve vztahu k Nákladnímu listu FIATA</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Prokázat orientaci v národních a mezinárodních právních normách vztahujících se k pojištění a reklamačnímu řízení</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Orientace v dopravním pojištění</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Popsat obecné zásady pojišťovací politiky a jejich dopad na dopravní pojištění a typy krytí</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Písemné a ústní ověření</w:t>
      </w:r>
    </w:p>
    <w:p>
      <w:pPr>
        <w:pStyle w:val="P16"/>
        <w:framePr w:w="6710" w:h="376" w:hRule="exact" w:wrap="none" w:vAnchor="page" w:hAnchor="margin" w:x="45" w:y="10881"/>
        <w:rPr>
          <w:rStyle w:val="C3"/>
          <w:rtl w:val="0"/>
        </w:rPr>
      </w:pPr>
    </w:p>
    <w:p>
      <w:pPr>
        <w:pStyle w:val="P17"/>
        <w:framePr w:w="6658" w:h="249" w:hRule="exact" w:wrap="none" w:vAnchor="page" w:hAnchor="margin" w:x="71" w:y="10937"/>
        <w:rPr>
          <w:rStyle w:val="C13"/>
          <w:rtl w:val="0"/>
        </w:rPr>
      </w:pPr>
      <w:r>
        <w:rPr>
          <w:rStyle w:val="C13"/>
          <w:rtl w:val="0"/>
        </w:rPr>
        <w:t>b) Popsat povinnosti zasílatele v případě poškození zboží</w:t>
      </w:r>
    </w:p>
    <w:p>
      <w:pPr>
        <w:pStyle w:val="P30"/>
        <w:framePr w:w="3921" w:h="376" w:hRule="exact" w:wrap="none" w:vAnchor="page" w:hAnchor="margin" w:x="6800" w:y="10881"/>
        <w:rPr>
          <w:rStyle w:val="C3"/>
          <w:rtl w:val="0"/>
        </w:rPr>
      </w:pPr>
    </w:p>
    <w:p>
      <w:pPr>
        <w:pStyle w:val="P31"/>
        <w:framePr w:w="3839" w:h="249" w:hRule="exact" w:wrap="none" w:vAnchor="page" w:hAnchor="margin" w:x="6856" w:y="10937"/>
        <w:rPr>
          <w:rStyle w:val="C22"/>
          <w:rtl w:val="0"/>
        </w:rPr>
      </w:pPr>
      <w:r>
        <w:rPr>
          <w:rStyle w:val="C22"/>
          <w:rtl w:val="0"/>
        </w:rPr>
        <w:t>Ústní ověření</w:t>
      </w:r>
    </w:p>
    <w:p>
      <w:pPr>
        <w:pStyle w:val="P12"/>
        <w:framePr w:w="6710" w:h="607" w:hRule="exact" w:wrap="none" w:vAnchor="page" w:hAnchor="margin" w:x="45" w:y="11257"/>
        <w:rPr>
          <w:rStyle w:val="C3"/>
          <w:rtl w:val="0"/>
        </w:rPr>
      </w:pPr>
    </w:p>
    <w:p>
      <w:pPr>
        <w:pStyle w:val="P13"/>
        <w:framePr w:w="6658" w:h="480" w:hRule="exact" w:wrap="none" w:vAnchor="page" w:hAnchor="margin" w:x="71" w:y="11313"/>
        <w:rPr>
          <w:rStyle w:val="C11"/>
          <w:rtl w:val="0"/>
        </w:rPr>
      </w:pPr>
      <w:r>
        <w:rPr>
          <w:rStyle w:val="C11"/>
          <w:rtl w:val="0"/>
        </w:rPr>
        <w:t>c) Popsat povinnosti dopravce, přepravce a zasílatele při poškození, částečné ztrátě a úplné ztrátě, při nehodách a jiných událostech</w:t>
      </w:r>
    </w:p>
    <w:p>
      <w:pPr>
        <w:pStyle w:val="P28"/>
        <w:framePr w:w="3921" w:h="607" w:hRule="exact" w:wrap="none" w:vAnchor="page" w:hAnchor="margin" w:x="6800" w:y="11257"/>
        <w:rPr>
          <w:rStyle w:val="C3"/>
          <w:rtl w:val="0"/>
        </w:rPr>
      </w:pPr>
    </w:p>
    <w:p>
      <w:pPr>
        <w:pStyle w:val="P29"/>
        <w:framePr w:w="3839" w:h="480"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1864"/>
        <w:rPr>
          <w:rStyle w:val="C3"/>
          <w:rtl w:val="0"/>
        </w:rPr>
      </w:pPr>
    </w:p>
    <w:p>
      <w:pPr>
        <w:pStyle w:val="P17"/>
        <w:framePr w:w="6658" w:h="480" w:hRule="exact" w:wrap="none" w:vAnchor="page" w:hAnchor="margin" w:x="71" w:y="11920"/>
        <w:rPr>
          <w:rStyle w:val="C13"/>
          <w:rtl w:val="0"/>
        </w:rPr>
      </w:pPr>
      <w:r>
        <w:rPr>
          <w:rStyle w:val="C13"/>
          <w:rtl w:val="0"/>
        </w:rPr>
        <w:t>d) Prokázat znalost základních produktů pojišťoven v kontextu činnosti zasílatele</w:t>
      </w:r>
    </w:p>
    <w:p>
      <w:pPr>
        <w:pStyle w:val="P30"/>
        <w:framePr w:w="3921" w:h="607" w:hRule="exact" w:wrap="none" w:vAnchor="page" w:hAnchor="margin" w:x="6800" w:y="11864"/>
        <w:rPr>
          <w:rStyle w:val="C3"/>
          <w:rtl w:val="0"/>
        </w:rPr>
      </w:pPr>
    </w:p>
    <w:p>
      <w:pPr>
        <w:pStyle w:val="P31"/>
        <w:framePr w:w="3839" w:h="480" w:hRule="exact" w:wrap="none" w:vAnchor="page" w:hAnchor="margin" w:x="6856" w:y="11920"/>
        <w:rPr>
          <w:rStyle w:val="C22"/>
          <w:rtl w:val="0"/>
        </w:rPr>
      </w:pPr>
      <w:r>
        <w:rPr>
          <w:rStyle w:val="C22"/>
          <w:rtl w:val="0"/>
        </w:rPr>
        <w:t>Ústní ověření</w:t>
      </w:r>
    </w:p>
    <w:p>
      <w:pPr>
        <w:pStyle w:val="P12"/>
        <w:framePr w:w="6710" w:h="376" w:hRule="exact" w:wrap="none" w:vAnchor="page" w:hAnchor="margin" w:x="45" w:y="12470"/>
        <w:rPr>
          <w:rStyle w:val="C3"/>
          <w:rtl w:val="0"/>
        </w:rPr>
      </w:pPr>
    </w:p>
    <w:p>
      <w:pPr>
        <w:pStyle w:val="P13"/>
        <w:framePr w:w="6658" w:h="249" w:hRule="exact" w:wrap="none" w:vAnchor="page" w:hAnchor="margin" w:x="71" w:y="12526"/>
        <w:rPr>
          <w:rStyle w:val="C11"/>
          <w:rtl w:val="0"/>
        </w:rPr>
      </w:pPr>
      <w:r>
        <w:rPr>
          <w:rStyle w:val="C11"/>
          <w:rtl w:val="0"/>
        </w:rPr>
        <w:t>e) Vysvětlit princip pojistky a pojistného certifikátu v přepravě</w:t>
      </w:r>
    </w:p>
    <w:p>
      <w:pPr>
        <w:pStyle w:val="P28"/>
        <w:framePr w:w="3921" w:h="376" w:hRule="exact" w:wrap="none" w:vAnchor="page" w:hAnchor="margin" w:x="6800" w:y="12470"/>
        <w:rPr>
          <w:rStyle w:val="C3"/>
          <w:rtl w:val="0"/>
        </w:rPr>
      </w:pPr>
    </w:p>
    <w:p>
      <w:pPr>
        <w:pStyle w:val="P29"/>
        <w:framePr w:w="3839" w:h="249" w:hRule="exact" w:wrap="none" w:vAnchor="page" w:hAnchor="margin" w:x="6856" w:y="12526"/>
        <w:rPr>
          <w:rStyle w:val="C21"/>
          <w:rtl w:val="0"/>
        </w:rPr>
      </w:pPr>
      <w:r>
        <w:rPr>
          <w:rStyle w:val="C21"/>
          <w:rtl w:val="0"/>
        </w:rPr>
        <w:t>Ústní ověření</w:t>
      </w:r>
    </w:p>
    <w:p>
      <w:pPr>
        <w:pStyle w:val="P16"/>
        <w:framePr w:w="6710" w:h="376" w:hRule="exact" w:wrap="none" w:vAnchor="page" w:hAnchor="margin" w:x="45" w:y="12847"/>
        <w:rPr>
          <w:rStyle w:val="C3"/>
          <w:rtl w:val="0"/>
        </w:rPr>
      </w:pPr>
    </w:p>
    <w:p>
      <w:pPr>
        <w:pStyle w:val="P17"/>
        <w:framePr w:w="6658" w:h="249" w:hRule="exact" w:wrap="none" w:vAnchor="page" w:hAnchor="margin" w:x="71" w:y="12903"/>
        <w:rPr>
          <w:rStyle w:val="C13"/>
          <w:rtl w:val="0"/>
        </w:rPr>
      </w:pPr>
      <w:r>
        <w:rPr>
          <w:rStyle w:val="C13"/>
          <w:rtl w:val="0"/>
        </w:rPr>
        <w:t>f) Navrhnout vhodný typ dodací/dodacích doložek (INCOTERMS)</w:t>
      </w:r>
    </w:p>
    <w:p>
      <w:pPr>
        <w:pStyle w:val="P30"/>
        <w:framePr w:w="3921" w:h="376" w:hRule="exact" w:wrap="none" w:vAnchor="page" w:hAnchor="margin" w:x="6800" w:y="12847"/>
        <w:rPr>
          <w:rStyle w:val="C3"/>
          <w:rtl w:val="0"/>
        </w:rPr>
      </w:pPr>
    </w:p>
    <w:p>
      <w:pPr>
        <w:pStyle w:val="P31"/>
        <w:framePr w:w="3839" w:h="249" w:hRule="exact" w:wrap="none" w:vAnchor="page" w:hAnchor="margin" w:x="6856" w:y="12903"/>
        <w:rPr>
          <w:rStyle w:val="C22"/>
          <w:rtl w:val="0"/>
        </w:rPr>
      </w:pPr>
      <w:r>
        <w:rPr>
          <w:rStyle w:val="C22"/>
          <w:rtl w:val="0"/>
        </w:rPr>
        <w:t>Praktické předvedení a ústní ověření</w:t>
      </w:r>
    </w:p>
    <w:p>
      <w:pPr>
        <w:pStyle w:val="P32"/>
        <w:framePr w:w="10710" w:h="248" w:hRule="exact" w:wrap="none" w:vAnchor="page" w:hAnchor="margin" w:x="28" w:y="133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kvalitativních ukazatelích a parametrech zasílatelské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budování a hodnocení systémů kvality v podmínkách zasílatelské činnosti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stanovení a hodnocení kvalitativních ukazatelů v zasílatelské činnosti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řešení rozporů v naplňování kvalitativních parametrů a řešení vzniklých reklamací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postup v případě řešení pojistné události a reklamace v kontextu činnosti zasílatele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Zpracování podkladů pro uzavření pojistky související s přepravou</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Zpracovat podklady pro uzavření pojistky podle zadání</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náležitosti pojistného certifikátu</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a ústní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Vyřizování reklamaci souvisejících s přepravou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vyřízení reklamace vůči přepravci a vůči dopravci, případně k třetím stranám</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Písemné a ústní ověření</w:t>
      </w:r>
    </w:p>
    <w:p>
      <w:pPr>
        <w:pStyle w:val="P16"/>
        <w:framePr w:w="6710" w:h="376" w:hRule="exact" w:wrap="none" w:vAnchor="page" w:hAnchor="margin" w:x="45" w:y="9486"/>
        <w:rPr>
          <w:rStyle w:val="C3"/>
          <w:rtl w:val="0"/>
        </w:rPr>
      </w:pPr>
    </w:p>
    <w:p>
      <w:pPr>
        <w:pStyle w:val="P17"/>
        <w:framePr w:w="6658" w:h="249" w:hRule="exact" w:wrap="none" w:vAnchor="page" w:hAnchor="margin" w:x="71" w:y="9542"/>
        <w:rPr>
          <w:rStyle w:val="C13"/>
          <w:rtl w:val="0"/>
        </w:rPr>
      </w:pPr>
      <w:r>
        <w:rPr>
          <w:rStyle w:val="C13"/>
          <w:rtl w:val="0"/>
        </w:rPr>
        <w:t>b) Vyřídit reklamace podle zadání</w:t>
      </w:r>
    </w:p>
    <w:p>
      <w:pPr>
        <w:pStyle w:val="P30"/>
        <w:framePr w:w="3921" w:h="376" w:hRule="exact" w:wrap="none" w:vAnchor="page" w:hAnchor="margin" w:x="6800" w:y="9486"/>
        <w:rPr>
          <w:rStyle w:val="C3"/>
          <w:rtl w:val="0"/>
        </w:rPr>
      </w:pPr>
    </w:p>
    <w:p>
      <w:pPr>
        <w:pStyle w:val="P31"/>
        <w:framePr w:w="3839" w:h="249" w:hRule="exact" w:wrap="none" w:vAnchor="page" w:hAnchor="margin" w:x="6856" w:y="9542"/>
        <w:rPr>
          <w:rStyle w:val="C22"/>
          <w:rtl w:val="0"/>
        </w:rPr>
      </w:pPr>
      <w:r>
        <w:rPr>
          <w:rStyle w:val="C22"/>
          <w:rtl w:val="0"/>
        </w:rPr>
        <w:t>Praktické předvedení</w:t>
      </w:r>
    </w:p>
    <w:p>
      <w:pPr>
        <w:pStyle w:val="P32"/>
        <w:framePr w:w="10710" w:h="248" w:hRule="exact" w:wrap="none" w:vAnchor="page" w:hAnchor="margin" w:x="28" w:y="99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znalostí zodpovídá uchazeč otázky zkoušejících z daných kritérií hodnocení.</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10 sad zadání pro praktické a písemné ověřování kompetencí podle kritérií hodnocení: Orientace v úlohách a úkolech mezinárodního zasílatelství – body c), d), Orientace v dopravním pojištění – body a), c), f), Orientace v kvalitativních ukazatelích a parametrech zasílatelské činnosti – body b), d), Zpracování podkladů pro uzavření pojistky související s přepravou – body a), b) a Vyřizování reklamací souvisejících s přepravou a), b). Každé zadání bude obsahovat tři úkoly/otázky pro každé z uvedených kritérií hodnocení. Každé zadání bude koncipováno tak, aby tvořilo ucelenou úlohu z oblasti pojištění a reklamace v přepravě. Uchazeč v rámci zadání bude řešit případovou studii, která bude simulovat realizaci obchodního případu z dané oblasti.</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před zahájením zkoušky vylosuje jednu sadu z minimálně 10 připravených sad.</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prověřování znalostí uchazeče podle jednotlivých kritérií hodnocení a způsobilosti uchazeče správně provést zadané úkoly.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22"/>
        <w:rPr>
          <w:rStyle w:val="C3"/>
          <w:rtl w:val="0"/>
        </w:rPr>
      </w:pPr>
    </w:p>
    <w:p>
      <w:pPr>
        <w:pStyle w:val="P35"/>
        <w:framePr w:w="10710" w:h="340" w:hRule="exact" w:wrap="none" w:vAnchor="page" w:hAnchor="margin" w:x="28" w:y="7822"/>
        <w:rPr>
          <w:rStyle w:val="C25"/>
          <w:rtl w:val="0"/>
        </w:rPr>
      </w:pPr>
      <w:r>
        <w:rPr>
          <w:rStyle w:val="C25"/>
          <w:rtl w:val="0"/>
        </w:rPr>
        <w:t>Výsledné hodnocení</w:t>
      </w:r>
    </w:p>
    <w:p>
      <w:pPr>
        <w:keepNext w:val="0"/>
        <w:keepLines w:val="0"/>
        <w:framePr w:w="10766" w:h="1497"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Počet zkoušejících</w:t>
      </w:r>
    </w:p>
    <w:p>
      <w:pPr>
        <w:keepNext w:val="0"/>
        <w:keepLines w:val="0"/>
        <w:framePr w:w="10766" w:h="103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zasílatelství nebo logistiku nebo na provoz a ekonomiku dopravy a alespoň 5 let odborné praxe v oblasti zasílatelství nebo ve funkci učitele praktického vyučování nebo odborného výcviku v oblasti zasílatelství.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oboru technologie a řízení dopravy, technologie dopravy a přepravy nebo dopravní management, marketing a logistika, a alespoň 5 let odborné praxe v oblasti zasílatelství nebo ve funkci učitele odborných předmětů v oblasti zasílatelství.</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935" w:hRule="exact" w:wrap="none" w:vAnchor="page" w:hAnchor="margin" w:x="0" w:y="10037"/>
        <w:rPr>
          <w:rStyle w:val="C3"/>
          <w:rtl w:val="0"/>
        </w:rPr>
      </w:pPr>
    </w:p>
    <w:p>
      <w:pPr>
        <w:pStyle w:val="P35"/>
        <w:framePr w:w="10710" w:h="340" w:hRule="exact" w:wrap="none" w:vAnchor="page" w:hAnchor="margin" w:x="28" w:y="10037"/>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zasílatelství, dopravy, skladování a ekonomiky, aktuální studijní materiály v tištěné nebo elektronické podobě, sady zadání úloh a protokoly pro záznam průběhu zkoušky.</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199"/>
        <w:rPr>
          <w:rStyle w:val="C3"/>
          <w:rtl w:val="0"/>
        </w:rPr>
      </w:pPr>
    </w:p>
    <w:p>
      <w:pPr>
        <w:pStyle w:val="P35"/>
        <w:framePr w:w="10710" w:h="340" w:hRule="exact" w:wrap="none" w:vAnchor="page" w:hAnchor="margin" w:x="28" w:y="14199"/>
        <w:rPr>
          <w:rStyle w:val="C25"/>
          <w:rtl w:val="0"/>
        </w:rPr>
      </w:pPr>
      <w:r>
        <w:rPr>
          <w:rStyle w:val="C25"/>
          <w:rtl w:val="0"/>
        </w:rPr>
        <w:t>Doba přípravy na zkoušku</w:t>
      </w:r>
    </w:p>
    <w:p>
      <w:pPr>
        <w:keepNext w:val="0"/>
        <w:keepLines w:val="0"/>
        <w:framePr w:w="10766" w:h="806" w:hRule="exact" w:wrap="none" w:vAnchor="page" w:hAnchor="margin" w:x="0" w:y="14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 Katedra dopravy a logistiky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spedice a logistiky České republiky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Jana Pernera,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s.</w:t>
      </w:r>
    </w:p>
    <w:p>
      <w:pPr>
        <w:pStyle w:val="P21"/>
        <w:framePr w:w="7654" w:h="331" w:hRule="exact" w:wrap="none" w:vAnchor="page" w:hAnchor="margin" w:x="28" w:y="15940"/>
        <w:rPr>
          <w:rStyle w:val="C16"/>
          <w:rtl w:val="0"/>
        </w:rPr>
      </w:pPr>
      <w:r>
        <w:rPr>
          <w:rStyle w:val="C16"/>
          <w:rtl w:val="0"/>
        </w:rPr>
        <w:t>Odborný referent / odborná referentka pro pojištění a reklamace v přepravě, 11.9.2026 17:50:58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E4F3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CC99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