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E8D0D3" Type="http://schemas.openxmlformats.org/officeDocument/2006/relationships/officeDocument" Target="/word/document.xml" /><Relationship Id="coreR61E8D0D3" Type="http://schemas.openxmlformats.org/package/2006/relationships/metadata/core-properties" Target="/docProps/core.xml" /><Relationship Id="customR61E8D0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 pro prošetřování událostí (kód: 68-007-R)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Detektiv pro prošetřování událostí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norem s důrazem na bezpečnostně právní problematiku a ochranu osobních údajů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formách, metodách a prostředcích soukromé detektivní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prostředků a pomůcek pro prošetřování událostí v rámci soukromé detektivní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Dokumentování a vyhodnocování informací, jejich evidence a příprava k předání klientovi (prošetřování událostí)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a analyzování informací při prošetřování událostí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08.09.2021 do: 20.10.2022</w:t>
      </w:r>
    </w:p>
    <w:p>
      <w:pPr>
        <w:pStyle w:val="P21"/>
        <w:framePr w:w="7654" w:h="331" w:hRule="exact" w:wrap="none" w:vAnchor="page" w:hAnchor="margin" w:x="28" w:y="15940"/>
        <w:rPr>
          <w:rStyle w:val="C16"/>
          <w:rtl w:val="0"/>
        </w:rPr>
      </w:pPr>
      <w:r>
        <w:rPr>
          <w:rStyle w:val="C16"/>
          <w:rtl w:val="0"/>
        </w:rPr>
        <w:t>Detektiv pro prošetřování událostí, 29.10.2026 0:03:20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Aplikování právních norem s důrazem na bezpečnostně 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Aplikovat ústavní právo s důrazem na soukromou detektivní činnost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i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Aplikovat občanské a obchodní právo s důrazem na typické smluvní vztahy v soukromé detektivní činnosti</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i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Aplikovat živnostenského právo, pracovní právo a daňové předpisy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i 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Aplikovat trestní právo a trestní řád, správní právo a správní řád s důrazem na přestupkový zákon a zákon o zbraních a střelivu</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Písemné i ústní ověření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Orientovat se v zákoně o svobodném přístupu k informacím a v zákoně o ochraně osobních údajů</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Písemné i ústní ověření</w:t>
      </w:r>
    </w:p>
    <w:p>
      <w:pPr>
        <w:pStyle w:val="P16"/>
        <w:framePr w:w="6710" w:h="376" w:hRule="exact" w:wrap="none" w:vAnchor="page" w:hAnchor="margin" w:x="45" w:y="6308"/>
        <w:rPr>
          <w:rStyle w:val="C3"/>
          <w:rtl w:val="0"/>
        </w:rPr>
      </w:pPr>
    </w:p>
    <w:p>
      <w:pPr>
        <w:pStyle w:val="P17"/>
        <w:framePr w:w="6658" w:h="249" w:hRule="exact" w:wrap="none" w:vAnchor="page" w:hAnchor="margin" w:x="71" w:y="6364"/>
        <w:rPr>
          <w:rStyle w:val="C13"/>
          <w:rtl w:val="0"/>
        </w:rPr>
      </w:pPr>
      <w:r>
        <w:rPr>
          <w:rStyle w:val="C13"/>
          <w:rtl w:val="0"/>
        </w:rPr>
        <w:t>f) Orientace v zákoně o Polici České republiky a obecní policii</w:t>
      </w:r>
    </w:p>
    <w:p>
      <w:pPr>
        <w:pStyle w:val="P30"/>
        <w:framePr w:w="3921" w:h="376" w:hRule="exact" w:wrap="none" w:vAnchor="page" w:hAnchor="margin" w:x="6800" w:y="6308"/>
        <w:rPr>
          <w:rStyle w:val="C3"/>
          <w:rtl w:val="0"/>
        </w:rPr>
      </w:pPr>
    </w:p>
    <w:p>
      <w:pPr>
        <w:pStyle w:val="P31"/>
        <w:framePr w:w="3839" w:h="249" w:hRule="exact" w:wrap="none" w:vAnchor="page" w:hAnchor="margin" w:x="6856" w:y="6364"/>
        <w:rPr>
          <w:rStyle w:val="C22"/>
          <w:rtl w:val="0"/>
        </w:rPr>
      </w:pPr>
      <w:r>
        <w:rPr>
          <w:rStyle w:val="C22"/>
          <w:rtl w:val="0"/>
        </w:rPr>
        <w:t>Písemně i ústní ověření</w:t>
      </w:r>
    </w:p>
    <w:p>
      <w:pPr>
        <w:pStyle w:val="P32"/>
        <w:framePr w:w="10710" w:h="248" w:hRule="exact" w:wrap="none" w:vAnchor="page" w:hAnchor="margin" w:x="28" w:y="6797"/>
        <w:rPr>
          <w:rStyle w:val="C23"/>
          <w:rtl w:val="0"/>
        </w:rPr>
      </w:pPr>
      <w:r>
        <w:rPr>
          <w:rStyle w:val="C23"/>
          <w:rtl w:val="0"/>
        </w:rPr>
        <w:t>Je třeba splnit všechna kritéria.</w:t>
      </w:r>
    </w:p>
    <w:p>
      <w:pPr>
        <w:pStyle w:val="P23"/>
        <w:framePr w:w="10710" w:h="340" w:hRule="exact" w:wrap="none" w:vAnchor="page" w:hAnchor="margin" w:x="28" w:y="7233"/>
        <w:rPr>
          <w:rStyle w:val="C18"/>
          <w:rtl w:val="0"/>
        </w:rPr>
      </w:pPr>
      <w:r>
        <w:rPr>
          <w:rStyle w:val="C18"/>
          <w:rtl w:val="0"/>
        </w:rPr>
        <w:t>Orientace ve formách, metodách a prostředcích soukromé detektivní činnosti</w:t>
      </w:r>
    </w:p>
    <w:p>
      <w:pPr>
        <w:pStyle w:val="P24"/>
        <w:framePr w:w="6713" w:h="376" w:hRule="exact" w:wrap="none" w:vAnchor="page" w:hAnchor="margin" w:x="45" w:y="7672"/>
        <w:rPr>
          <w:rStyle w:val="C3"/>
          <w:rtl w:val="0"/>
        </w:rPr>
      </w:pPr>
    </w:p>
    <w:p>
      <w:pPr>
        <w:pStyle w:val="P25"/>
        <w:framePr w:w="6661" w:h="249" w:hRule="exact" w:wrap="none" w:vAnchor="page" w:hAnchor="margin" w:x="71" w:y="7743"/>
        <w:rPr>
          <w:rStyle w:val="C19"/>
          <w:rtl w:val="0"/>
        </w:rPr>
      </w:pPr>
      <w:r>
        <w:rPr>
          <w:rStyle w:val="C19"/>
          <w:rtl w:val="0"/>
        </w:rPr>
        <w:t>Kritéria hodnocení</w:t>
      </w:r>
    </w:p>
    <w:p>
      <w:pPr>
        <w:pStyle w:val="P26"/>
        <w:framePr w:w="3918" w:h="376" w:hRule="exact" w:wrap="none" w:vAnchor="page" w:hAnchor="margin" w:x="6803" w:y="7672"/>
        <w:rPr>
          <w:rStyle w:val="C3"/>
          <w:rtl w:val="0"/>
        </w:rPr>
      </w:pPr>
    </w:p>
    <w:p>
      <w:pPr>
        <w:pStyle w:val="P27"/>
        <w:framePr w:w="3836" w:h="249" w:hRule="exact" w:wrap="none" w:vAnchor="page" w:hAnchor="margin" w:x="6859" w:y="7743"/>
        <w:rPr>
          <w:rStyle w:val="C20"/>
          <w:rtl w:val="0"/>
        </w:rPr>
      </w:pPr>
      <w:r>
        <w:rPr>
          <w:rStyle w:val="C20"/>
          <w:rtl w:val="0"/>
        </w:rPr>
        <w:t>Způsoby ověření</w:t>
      </w:r>
    </w:p>
    <w:p>
      <w:pPr>
        <w:pStyle w:val="P12"/>
        <w:framePr w:w="6710" w:h="831" w:hRule="exact" w:wrap="none" w:vAnchor="page" w:hAnchor="margin" w:x="45" w:y="8048"/>
        <w:rPr>
          <w:rStyle w:val="C3"/>
          <w:rtl w:val="0"/>
        </w:rPr>
      </w:pPr>
    </w:p>
    <w:p>
      <w:pPr>
        <w:pStyle w:val="P13"/>
        <w:framePr w:w="6658" w:h="704" w:hRule="exact" w:wrap="none" w:vAnchor="page" w:hAnchor="margin" w:x="71" w:y="8104"/>
        <w:rPr>
          <w:rStyle w:val="C11"/>
          <w:rtl w:val="0"/>
        </w:rPr>
      </w:pPr>
      <w:r>
        <w:rPr>
          <w:rStyle w:val="C11"/>
          <w:rtl w:val="0"/>
        </w:rPr>
        <w:t>a) Orientovat se ve formách detektivní činnosti - detektivní dohled a ochrana, detektivní pátrání, detektivní prověrka, detektivní rozkrývání a detektivní zpravodajství</w:t>
      </w:r>
    </w:p>
    <w:p>
      <w:pPr>
        <w:pStyle w:val="P28"/>
        <w:framePr w:w="3921" w:h="831" w:hRule="exact" w:wrap="none" w:vAnchor="page" w:hAnchor="margin" w:x="6800" w:y="8048"/>
        <w:rPr>
          <w:rStyle w:val="C3"/>
          <w:rtl w:val="0"/>
        </w:rPr>
      </w:pPr>
    </w:p>
    <w:p>
      <w:pPr>
        <w:pStyle w:val="P29"/>
        <w:framePr w:w="3839" w:h="704" w:hRule="exact" w:wrap="none" w:vAnchor="page" w:hAnchor="margin" w:x="6856" w:y="8104"/>
        <w:rPr>
          <w:rStyle w:val="C21"/>
          <w:rtl w:val="0"/>
        </w:rPr>
      </w:pPr>
      <w:r>
        <w:rPr>
          <w:rStyle w:val="C21"/>
          <w:rtl w:val="0"/>
        </w:rPr>
        <w:t>Písemné i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Charakterizovat metody soukromé detektivní činnosti včetně kriminalistických postupů</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i ústní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Charakterizovat kriminologické, kriminalistické, psychologické aspekty v soukromé detektivní činnosti</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Písemné i ústní ověření</w:t>
      </w:r>
    </w:p>
    <w:p>
      <w:pPr>
        <w:pStyle w:val="P16"/>
        <w:framePr w:w="6710" w:h="607" w:hRule="exact" w:wrap="none" w:vAnchor="page" w:hAnchor="margin" w:x="45" w:y="10093"/>
        <w:rPr>
          <w:rStyle w:val="C3"/>
          <w:rtl w:val="0"/>
        </w:rPr>
      </w:pPr>
    </w:p>
    <w:p>
      <w:pPr>
        <w:pStyle w:val="P17"/>
        <w:framePr w:w="6658" w:h="480" w:hRule="exact" w:wrap="none" w:vAnchor="page" w:hAnchor="margin" w:x="71" w:y="10149"/>
        <w:rPr>
          <w:rStyle w:val="C13"/>
          <w:rtl w:val="0"/>
        </w:rPr>
      </w:pPr>
      <w:r>
        <w:rPr>
          <w:rStyle w:val="C13"/>
          <w:rtl w:val="0"/>
        </w:rPr>
        <w:t>d) Vysvětlit význam komunikace a psychologii osobnosti v rámci uplatňování metod soukromé detektivní činnosti</w:t>
      </w:r>
    </w:p>
    <w:p>
      <w:pPr>
        <w:pStyle w:val="P30"/>
        <w:framePr w:w="3921" w:h="607" w:hRule="exact" w:wrap="none" w:vAnchor="page" w:hAnchor="margin" w:x="6800" w:y="10093"/>
        <w:rPr>
          <w:rStyle w:val="C3"/>
          <w:rtl w:val="0"/>
        </w:rPr>
      </w:pPr>
    </w:p>
    <w:p>
      <w:pPr>
        <w:pStyle w:val="P31"/>
        <w:framePr w:w="3839" w:h="480" w:hRule="exact" w:wrap="none" w:vAnchor="page" w:hAnchor="margin" w:x="6856" w:y="10149"/>
        <w:rPr>
          <w:rStyle w:val="C22"/>
          <w:rtl w:val="0"/>
        </w:rPr>
      </w:pPr>
      <w:r>
        <w:rPr>
          <w:rStyle w:val="C22"/>
          <w:rtl w:val="0"/>
        </w:rPr>
        <w:t>Písemné i ústní ověření</w:t>
      </w:r>
    </w:p>
    <w:p>
      <w:pPr>
        <w:pStyle w:val="P12"/>
        <w:framePr w:w="6710" w:h="607" w:hRule="exact" w:wrap="none" w:vAnchor="page" w:hAnchor="margin" w:x="45" w:y="10700"/>
        <w:rPr>
          <w:rStyle w:val="C3"/>
          <w:rtl w:val="0"/>
        </w:rPr>
      </w:pPr>
    </w:p>
    <w:p>
      <w:pPr>
        <w:pStyle w:val="P13"/>
        <w:framePr w:w="6658" w:h="480" w:hRule="exact" w:wrap="none" w:vAnchor="page" w:hAnchor="margin" w:x="71" w:y="10756"/>
        <w:rPr>
          <w:rStyle w:val="C11"/>
          <w:rtl w:val="0"/>
        </w:rPr>
      </w:pPr>
      <w:r>
        <w:rPr>
          <w:rStyle w:val="C11"/>
          <w:rtl w:val="0"/>
        </w:rPr>
        <w:t>e) Vysvětlit zdroje informací (otevřené, speciální) s důrazem na možnou důkazní hodnotu</w:t>
      </w:r>
    </w:p>
    <w:p>
      <w:pPr>
        <w:pStyle w:val="P28"/>
        <w:framePr w:w="3921" w:h="607" w:hRule="exact" w:wrap="none" w:vAnchor="page" w:hAnchor="margin" w:x="6800" w:y="10700"/>
        <w:rPr>
          <w:rStyle w:val="C3"/>
          <w:rtl w:val="0"/>
        </w:rPr>
      </w:pPr>
    </w:p>
    <w:p>
      <w:pPr>
        <w:pStyle w:val="P29"/>
        <w:framePr w:w="3839" w:h="480" w:hRule="exact" w:wrap="none" w:vAnchor="page" w:hAnchor="margin" w:x="6856" w:y="10756"/>
        <w:rPr>
          <w:rStyle w:val="C21"/>
          <w:rtl w:val="0"/>
        </w:rPr>
      </w:pPr>
      <w:r>
        <w:rPr>
          <w:rStyle w:val="C21"/>
          <w:rtl w:val="0"/>
        </w:rPr>
        <w:t>Písemné i ústní ověření</w:t>
      </w:r>
    </w:p>
    <w:p>
      <w:pPr>
        <w:pStyle w:val="P32"/>
        <w:framePr w:w="10710" w:h="248" w:hRule="exact" w:wrap="none" w:vAnchor="page" w:hAnchor="margin" w:x="28" w:y="11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pro prošetřování událostí, 29.10.2026 0:03:20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prostředků a pomůcek pro prošetřování událostí v rámci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jednotlivé kriminalistické technické metody a jejich zajišťování (fotodokumentace, daktyloskopie, písmoznalectví, mechanoskopie, trasologie, DNA)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i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Pořídit fotografické, filmové a zvukové záznamy s ohledem na legálnost a nelegálnost takovýchto postupů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metody vyhledávání skrytých odposlechových zařízení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jednotlivé kriminalistické taktiky a metodologie při zajišťování informací o důkazech</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i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použití obranných prostředků při výkonu detektivní činnosti s důrazem na znalost okolností vylučujících protiprávnost</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Dokumentování a vyhodnocování informací, jejich evidence a příprava k předání klientovi (prošetřování událostí)</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Vysvětlit postupu při analýze a třídění informací v rámci detektivního vyšetřování a dokumentování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Vysvětlit analýzu informací o důkazech v činnosti osob, průběhu událostí, situací a jevů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c) Vysvětlit oprávněnost a povinnost evidování výsledků detektivního dokumentování s ohledem na zákon o ochranně osobních údajů a zákon o utajovaných informacích</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d) Vysvětlit postup ukládání dat a ostatních podkladů a dokladů v souladu s platnou legislativou, včetně ukládání nezbytné dokumentace o případu s ohledem na legislativu v oblasti daní, účetnictví a živnostenských předpisů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Ústní ověření</w:t>
      </w:r>
    </w:p>
    <w:p>
      <w:pPr>
        <w:pStyle w:val="P32"/>
        <w:framePr w:w="10710" w:h="248" w:hRule="exact" w:wrap="none" w:vAnchor="page" w:hAnchor="margin" w:x="28" w:y="10559"/>
        <w:rPr>
          <w:rStyle w:val="C23"/>
          <w:rtl w:val="0"/>
        </w:rPr>
      </w:pPr>
      <w:r>
        <w:rPr>
          <w:rStyle w:val="C23"/>
          <w:rtl w:val="0"/>
        </w:rPr>
        <w:t>Je třeba splnit všechna kritéria.</w:t>
      </w:r>
    </w:p>
    <w:p>
      <w:pPr>
        <w:pStyle w:val="P23"/>
        <w:framePr w:w="10710" w:h="340" w:hRule="exact" w:wrap="none" w:vAnchor="page" w:hAnchor="margin" w:x="28" w:y="10994"/>
        <w:rPr>
          <w:rStyle w:val="C18"/>
          <w:rtl w:val="0"/>
        </w:rPr>
      </w:pPr>
      <w:r>
        <w:rPr>
          <w:rStyle w:val="C18"/>
          <w:rtl w:val="0"/>
        </w:rPr>
        <w:t>Zpracování a analyzování informací při prošetřování událostí</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607" w:hRule="exact" w:wrap="none" w:vAnchor="page" w:hAnchor="margin" w:x="45" w:y="11810"/>
        <w:rPr>
          <w:rStyle w:val="C3"/>
          <w:rtl w:val="0"/>
        </w:rPr>
      </w:pPr>
    </w:p>
    <w:p>
      <w:pPr>
        <w:pStyle w:val="P13"/>
        <w:framePr w:w="6658" w:h="480" w:hRule="exact" w:wrap="none" w:vAnchor="page" w:hAnchor="margin" w:x="71" w:y="11866"/>
        <w:rPr>
          <w:rStyle w:val="C11"/>
          <w:rtl w:val="0"/>
        </w:rPr>
      </w:pPr>
      <w:r>
        <w:rPr>
          <w:rStyle w:val="C11"/>
          <w:rtl w:val="0"/>
        </w:rPr>
        <w:t>a) Vysvětlit analýzu klíčové informace a určit prioritu informací o důkazech, příčiny, podmínky a následky a neschopnost takové informace být důkazem</w:t>
      </w:r>
    </w:p>
    <w:p>
      <w:pPr>
        <w:pStyle w:val="P28"/>
        <w:framePr w:w="3921" w:h="607" w:hRule="exact" w:wrap="none" w:vAnchor="page" w:hAnchor="margin" w:x="6800" w:y="11810"/>
        <w:rPr>
          <w:rStyle w:val="C3"/>
          <w:rtl w:val="0"/>
        </w:rPr>
      </w:pPr>
    </w:p>
    <w:p>
      <w:pPr>
        <w:pStyle w:val="P29"/>
        <w:framePr w:w="3839" w:h="480" w:hRule="exact" w:wrap="none" w:vAnchor="page" w:hAnchor="margin" w:x="6856" w:y="11866"/>
        <w:rPr>
          <w:rStyle w:val="C21"/>
          <w:rtl w:val="0"/>
        </w:rPr>
      </w:pPr>
      <w:r>
        <w:rPr>
          <w:rStyle w:val="C21"/>
          <w:rtl w:val="0"/>
        </w:rPr>
        <w:t>Ústní ověření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b) Vysvětlit způsoby a možnosti předvídání jednání svého protějšku s ohledem na cílené dotazy a odpovědi a minimalizace vzniku konfliktu</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Ústní ověření</w:t>
      </w:r>
    </w:p>
    <w:p>
      <w:pPr>
        <w:pStyle w:val="P12"/>
        <w:framePr w:w="6710" w:h="607" w:hRule="exact" w:wrap="none" w:vAnchor="page" w:hAnchor="margin" w:x="45" w:y="13023"/>
        <w:rPr>
          <w:rStyle w:val="C3"/>
          <w:rtl w:val="0"/>
        </w:rPr>
      </w:pPr>
    </w:p>
    <w:p>
      <w:pPr>
        <w:pStyle w:val="P13"/>
        <w:framePr w:w="6658" w:h="480" w:hRule="exact" w:wrap="none" w:vAnchor="page" w:hAnchor="margin" w:x="71" w:y="13079"/>
        <w:rPr>
          <w:rStyle w:val="C11"/>
          <w:rtl w:val="0"/>
        </w:rPr>
      </w:pPr>
      <w:r>
        <w:rPr>
          <w:rStyle w:val="C11"/>
          <w:rtl w:val="0"/>
        </w:rPr>
        <w:t>c) Vysvětlit možnosti využití základních veřejných informačních registrů a databází, jejich využití a přístupy k nim</w:t>
      </w:r>
    </w:p>
    <w:p>
      <w:pPr>
        <w:pStyle w:val="P28"/>
        <w:framePr w:w="3921" w:h="607" w:hRule="exact" w:wrap="none" w:vAnchor="page" w:hAnchor="margin" w:x="6800" w:y="13023"/>
        <w:rPr>
          <w:rStyle w:val="C3"/>
          <w:rtl w:val="0"/>
        </w:rPr>
      </w:pPr>
    </w:p>
    <w:p>
      <w:pPr>
        <w:pStyle w:val="P29"/>
        <w:framePr w:w="3839" w:h="480" w:hRule="exact" w:wrap="none" w:vAnchor="page" w:hAnchor="margin" w:x="6856" w:y="13079"/>
        <w:rPr>
          <w:rStyle w:val="C21"/>
          <w:rtl w:val="0"/>
        </w:rPr>
      </w:pPr>
      <w:r>
        <w:rPr>
          <w:rStyle w:val="C21"/>
          <w:rtl w:val="0"/>
        </w:rPr>
        <w:t>Ústní ověření</w:t>
      </w:r>
    </w:p>
    <w:p>
      <w:pPr>
        <w:pStyle w:val="P16"/>
        <w:framePr w:w="6710" w:h="376" w:hRule="exact" w:wrap="none" w:vAnchor="page" w:hAnchor="margin" w:x="45" w:y="13630"/>
        <w:rPr>
          <w:rStyle w:val="C3"/>
          <w:rtl w:val="0"/>
        </w:rPr>
      </w:pPr>
    </w:p>
    <w:p>
      <w:pPr>
        <w:pStyle w:val="P17"/>
        <w:framePr w:w="6658" w:h="249" w:hRule="exact" w:wrap="none" w:vAnchor="page" w:hAnchor="margin" w:x="71" w:y="13686"/>
        <w:rPr>
          <w:rStyle w:val="C13"/>
          <w:rtl w:val="0"/>
        </w:rPr>
      </w:pPr>
      <w:r>
        <w:rPr>
          <w:rStyle w:val="C13"/>
          <w:rtl w:val="0"/>
        </w:rPr>
        <w:t>d) Vysvětlit proces tvorby a prověřování detektivních verzí</w:t>
      </w:r>
    </w:p>
    <w:p>
      <w:pPr>
        <w:pStyle w:val="P30"/>
        <w:framePr w:w="3921" w:h="376" w:hRule="exact" w:wrap="none" w:vAnchor="page" w:hAnchor="margin" w:x="6800" w:y="13630"/>
        <w:rPr>
          <w:rStyle w:val="C3"/>
          <w:rtl w:val="0"/>
        </w:rPr>
      </w:pPr>
    </w:p>
    <w:p>
      <w:pPr>
        <w:pStyle w:val="P31"/>
        <w:framePr w:w="3839" w:h="249" w:hRule="exact" w:wrap="none" w:vAnchor="page" w:hAnchor="margin" w:x="6856" w:y="13686"/>
        <w:rPr>
          <w:rStyle w:val="C22"/>
          <w:rtl w:val="0"/>
        </w:rPr>
      </w:pPr>
      <w:r>
        <w:rPr>
          <w:rStyle w:val="C22"/>
          <w:rtl w:val="0"/>
        </w:rPr>
        <w:t>Ústní ověření</w:t>
      </w:r>
    </w:p>
    <w:p>
      <w:pPr>
        <w:pStyle w:val="P32"/>
        <w:framePr w:w="10710" w:h="248" w:hRule="exact" w:wrap="none" w:vAnchor="page" w:hAnchor="margin" w:x="28" w:y="141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pro prošetřování událostí, 29.10.2026 0:03:20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prověřují formou testu.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nebo ústní ověření, se prověřují formou řešení typových situací.</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obsahuje tyto kompetence: Orientace v právních normách s důrazem na bezpečnostně právní problematiku a ochranu osobních údajů; Uplatňování forem, metod a prostředků soukromé detektivní činnosti a jejich praktické naplňování; Ovládání prostředků a pomůcek pro prošetřování událostí v rámci soukromé detektivní činnosti. Každá kompetence je zastoupena v jedné nebo několika skupinách otázek. Při každé zkoušce musí být ověřeny všechny kompetence kvalifikačního standardu. Celkový počet otázek v testu musí být 30. Každé písemně ověřované kritérium musí být zastoupeno alespoň 2x. Celková velikost souboru testových otázek musí být minimálně 70 s tím, že každé písemně ověřované kritérium musí být zastoupeno alespoň 5</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otázkami. Určený člen komise poučí uchazeče o způsobu práce s testem před zahájením časového limitu.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Aplikování právních norem s důrazem na bezpečnostně právní problematiku a ochranu osobních údajů. Skupina B ověřuje kompetence: Ovládání prostředků a pomůcek pro prošetřování událostí v rámci soukromé detektivní činnosti; Dokumentování a vyhodnocování informací, jejich evidence a příprava k předání klientovi (prošetřování událostí); Zpracování a analyzování informací při prošetřování událostí. Autorizovaná osoba musí mít minimálně 10 typových situací skupiny A a 10 skupiny B.</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o podrobnostech stanovených k provedení zákona o uznávání výsledků dalšího vzdělávání.</w:t>
      </w:r>
    </w:p>
    <w:p>
      <w:pPr>
        <w:pStyle w:val="P21"/>
        <w:framePr w:w="7654" w:h="331" w:hRule="exact" w:wrap="none" w:vAnchor="page" w:hAnchor="margin" w:x="28" w:y="15940"/>
        <w:rPr>
          <w:rStyle w:val="C16"/>
          <w:rtl w:val="0"/>
        </w:rPr>
      </w:pPr>
      <w:r>
        <w:rPr>
          <w:rStyle w:val="C16"/>
          <w:rtl w:val="0"/>
        </w:rPr>
        <w:t>Detektiv pro prošetřování událostí, 29.10.2026 0:03:20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zaměstnancem, statutárním orgánem nebo členem statutárního orgánu stejného subjektu jako žadatel o zkoušku ani podnikatel, který je zaměstnavatelem nebo, u kterého žadatel vykonává činnost ostraha majetku a osob.</w:t>
      </w:r>
    </w:p>
    <w:p>
      <w:pPr>
        <w:pStyle w:val="P21"/>
        <w:framePr w:w="7654" w:h="331" w:hRule="exact" w:wrap="none" w:vAnchor="page" w:hAnchor="margin" w:x="28" w:y="15940"/>
        <w:rPr>
          <w:rStyle w:val="C16"/>
          <w:rtl w:val="0"/>
        </w:rPr>
      </w:pPr>
      <w:r>
        <w:rPr>
          <w:rStyle w:val="C16"/>
          <w:rtl w:val="0"/>
        </w:rPr>
        <w:t>Detektiv pro prošetřování událostí, 29.10.2026 0:03:20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minimální kvalifikační požadavky: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magisterském studijním programu + 5 let praxe v oboru zaměstnání operativní pracovník, kriminalistický analytik, obrana a ochrana (viz obory zaměstnání MPSV) a v pozici soukromý detektiv, z toho minimálně dva roky v posledních pěti letech před podáním žádosti o autorizaci praxi v činnosti soukromého detektiva (viz. nařízení vlády č. 278/2008 Sb., o obsahových náplních jednotlivých živností), nebo minimálně 5 let pedagogické praxe v oboru bezpečnostně právní činnost nebo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uživatelská dovednost práce s počítačem a internetem (doložit čestným prohlášením).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předložením dokladu nebo souboru dokladů o získání odborné způsobilosti autorizujícímu orgánu nebo jiným postupem stanoveným autorizujícím orgánem.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Detektiv pro prošetřování událostí, 29.10.2026 0:03:20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soubor typových situací s řešením</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 Soubor prostředků a pomůcek musí umožnit praktické předvedení u kritérií, kde je to způsobem ověření stanoveno. Prostředky mohou být nahrazeny výcvikovými maketami</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typových situací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Doba přípravy na zkoušku</w:t>
      </w:r>
    </w:p>
    <w:p>
      <w:pPr>
        <w:keepNext w:val="0"/>
        <w:keepLines w:val="0"/>
        <w:framePr w:w="10766" w:h="1036"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806"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60 minut. Praktická a ústní část zkoušky trvá 60 až 90 minut. Celková doba trvání zkoušky je 90 až 150 minut. Zkoušku absolvuje uchazeč v jednom dni.</w:t>
      </w:r>
    </w:p>
    <w:p>
      <w:pPr>
        <w:pStyle w:val="P21"/>
        <w:framePr w:w="7654" w:h="331" w:hRule="exact" w:wrap="none" w:vAnchor="page" w:hAnchor="margin" w:x="28" w:y="15940"/>
        <w:rPr>
          <w:rStyle w:val="C16"/>
          <w:rtl w:val="0"/>
        </w:rPr>
      </w:pPr>
      <w:r>
        <w:rPr>
          <w:rStyle w:val="C16"/>
          <w:rtl w:val="0"/>
        </w:rPr>
        <w:t>Detektiv pro prošetřování událostí, 29.10.2026 0:03:20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UNIVERZAL CZ,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aplikované informatiky,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ZVservice, s. r. o.</w:t>
      </w:r>
    </w:p>
    <w:p>
      <w:pPr>
        <w:pStyle w:val="P21"/>
        <w:framePr w:w="7654" w:h="331" w:hRule="exact" w:wrap="none" w:vAnchor="page" w:hAnchor="margin" w:x="28" w:y="15940"/>
        <w:rPr>
          <w:rStyle w:val="C16"/>
          <w:rtl w:val="0"/>
        </w:rPr>
      </w:pPr>
      <w:r>
        <w:rPr>
          <w:rStyle w:val="C16"/>
          <w:rtl w:val="0"/>
        </w:rPr>
        <w:t>Detektiv pro prošetřování událostí, 29.10.2026 0:03:20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DC19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E3D9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BE57EC"/>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