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80ADFC" Type="http://schemas.openxmlformats.org/officeDocument/2006/relationships/officeDocument" Target="/word/document.xml" /><Relationship Id="coreRC80ADFC" Type="http://schemas.openxmlformats.org/package/2006/relationships/metadata/core-properties" Target="/docProps/core.xml" /><Relationship Id="customRC80AD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(kód: 23-041-H)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pravidelných servisních prohlídek motocyklů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podvozkových částí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hnacího agregátu a převodového ústrojí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systémů řízení motorů, systému přípravy směsi a výfukového systému motocyklů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oprava elektrických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nových motocyklů, příprava k prodeji, montáž příslušenství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technické dokumentaci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28.01.2026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18.9.2026 15:21:40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http://katalog.nsp.cz/karta_p.aspx?kod_sm1=37&amp;id_jp=102481).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technologických postupů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podvozkových částí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předvedení na předním kole, které je namontováno na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provést společně s b) druhé kompetence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předvedení na předním kole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f) jedná se o jednu přední vidlici již demontovanou z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hnacího agregátu a převodového ústrojí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 motocykl bude před úkonem odstrojen (nádrž, kapotáže, atd.)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d), e) motor je před úkonem demontován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převodovka je před úkonem demontována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splnit všechna kritéria daná hodnoticím standardem.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18.9.2026 15:21:40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Yamaha Motor Middle Europe CZ- Čestlice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18.9.2026 15:21:40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