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1BC94" Type="http://schemas.openxmlformats.org/officeDocument/2006/relationships/officeDocument" Target="/word/document.xml" /><Relationship Id="coreR951BC94" Type="http://schemas.openxmlformats.org/package/2006/relationships/metadata/core-properties" Target="/docProps/core.xml" /><Relationship Id="customR951BC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podle § 6 vyhlášky č. 50/1978 Sb, v platném znění.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lze organizovat a provést na reálně instalovaném zařízení.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103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Sportservis ZANAP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 (ESČ)</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Uno Praha,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 Praha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pStyle w:val="P21"/>
        <w:framePr w:w="7654" w:h="331" w:hRule="exact" w:wrap="none" w:vAnchor="page" w:hAnchor="margin" w:x="28" w:y="15940"/>
        <w:rPr>
          <w:rStyle w:val="C16"/>
          <w:rtl w:val="0"/>
        </w:rPr>
      </w:pPr>
      <w:r>
        <w:rPr>
          <w:rStyle w:val="C16"/>
          <w:rtl w:val="0"/>
        </w:rPr>
        <w:t>Montér/montérka dobíjecích stanic pro elektromobily, 27.10.2026 5:00:56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B68F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780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B8D33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EA872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