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23FC1" Type="http://schemas.openxmlformats.org/officeDocument/2006/relationships/officeDocument" Target="/word/document.xml" /><Relationship Id="coreR4A723FC1" Type="http://schemas.openxmlformats.org/package/2006/relationships/metadata/core-properties" Target="/docProps/core.xml" /><Relationship Id="customR4A723F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Mechanizované zpracování půdy, hnojení a příprava záhonů v lesních školkách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 ochrana sadebního materiálu v lesní školce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 v lesních školkách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obalované sadby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Zavlažování lesních školek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 školce, kde je možné ověřit dovednost práce s mechanizačními prostředky, ve vhodné vegetační době pro její vykonání.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Výroba a ochrana sadebního materiálu v lesní školce v kritériu b) budou předmětem poznávání následující dřeviny, a to jejich semena, semenáčky a sazenice: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Listnaté: dub, buk, habr, javor, jasan, jilm, bříza, jeřáb, ořešák, třešeň, lípa, olše, topol, vrba.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pro tuto činnost HK ČR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výrobu sazenic v lesních školkách, 17.9.2026 2:16:36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