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22DD5" Type="http://schemas.openxmlformats.org/officeDocument/2006/relationships/officeDocument" Target="/word/document.xml" /><Relationship Id="coreR12922DD5" Type="http://schemas.openxmlformats.org/package/2006/relationships/metadata/core-properties" Target="/docProps/core.xml" /><Relationship Id="customR12922D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16.12.2015</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6"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kosmetička a alespoň 8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manikérka a nehtová designérka + střední vzdělání s maturitní zkouškou a alespoň 8 let odborné praxe v oboru manikúry, z toho minimálně jeden rok v období posledních dvou let před podáním žádosti o udělení autorizace.</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Manikérka a nehtová designérka, 28.10.2026 13:21:01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D928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6A7D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