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A1D01B" Type="http://schemas.openxmlformats.org/officeDocument/2006/relationships/officeDocument" Target="/word/document.xml" /><Relationship Id="coreR61A1D01B" Type="http://schemas.openxmlformats.org/package/2006/relationships/metadata/core-properties" Target="/docProps/core.xml" /><Relationship Id="customR61A1D0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navrhování postupu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přírodní nehty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ruce a nehty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ruce a nehty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 do: 28.10.2024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"https://www.nsp.cz/jednotka-prace/manikerka-pedikerka"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https://www.nsp.cz/jednotka-prace/manikerka-pedikerka#zdravotni-zpusobilost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činnosti budou předvedeny na figurantovi. Při zkoušce je ověřována práce na nehtech obou rukou figuranta.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