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2961F3" Type="http://schemas.openxmlformats.org/officeDocument/2006/relationships/officeDocument" Target="/word/document.xml" /><Relationship Id="coreR362961F3" Type="http://schemas.openxmlformats.org/package/2006/relationships/metadata/core-properties" Target="/docProps/core.xml" /><Relationship Id="customR362961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 laborant / fotografka laborantka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světlocitlivým fotografickým materiálem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zpracování černobílých fotografických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negativů, diapozitivů a pozitivních materiálů na automatických a poloautomatických linkách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fotografií z digitálního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zpracovatelského zařízení k provozu, včetně přípravy tiskárny pro tisk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Skládání barev v barevných modelech RGB, CMYK, LAB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Digitalizování analogových obrazových vstupů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barevné korekce a úpravy digitálních obrazů v grafických programech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Senzitometrická kontrola vyvolávacích procesů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ekologických požadavků pro používání chemických látek a likvidaci veškerých fotografických odpadů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22.10.2023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 / fotografka laborantka, 28.10.2026 23:12:09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 / fotografka laborantka, 28.10.2026 23:12:09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mediální grafiky a tisku, Praha 9 (pův. Střední škola polygrafická Praha)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Fotostudio Kráčmar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Deník Sport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 / fotografka laborantka, 28.10.2026 23:12:09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