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65995" Type="http://schemas.openxmlformats.org/officeDocument/2006/relationships/officeDocument" Target="/word/document.xml" /><Relationship Id="coreR5DF65995" Type="http://schemas.openxmlformats.org/package/2006/relationships/metadata/core-properties" Target="/docProps/core.xml" /><Relationship Id="customR5DF659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5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91"/>
        <w:rPr>
          <w:rStyle w:val="C11"/>
          <w:rtl w:val="0"/>
        </w:rPr>
      </w:pPr>
      <w:r>
        <w:rPr>
          <w:rStyle w:val="C11"/>
          <w:rtl w:val="0"/>
        </w:rPr>
        <w:t>c) Definovat legislativní rámec pro vyspecifikovanou povinnou osobu v souladu se zákonem č. 264/2025 Sb., o kybernetické bezpečnosti, ve znění pozdějších předpisů</w:t>
      </w:r>
    </w:p>
    <w:p>
      <w:pPr>
        <w:pStyle w:val="P28"/>
        <w:framePr w:w="3921" w:h="831" w:hRule="exact" w:wrap="none" w:vAnchor="page" w:hAnchor="margin" w:x="6800" w:y="65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15"/>
        <w:rPr>
          <w:rStyle w:val="C18"/>
          <w:rtl w:val="0"/>
        </w:rPr>
      </w:pPr>
      <w:r>
        <w:rPr>
          <w:rStyle w:val="C18"/>
          <w:rtl w:val="0"/>
        </w:rPr>
        <w:t>Uplatňování principů návrhu architektury informačních systémů se zohledněním požadavků kybernetické bezpečnosti</w:t>
      </w:r>
    </w:p>
    <w:p>
      <w:pPr>
        <w:pStyle w:val="P24"/>
        <w:framePr w:w="6713" w:h="376" w:hRule="exact" w:wrap="none" w:vAnchor="page" w:hAnchor="margin" w:x="45" w:y="8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a) Prokázat znalost principů a procesů řízení architektury kybernetické bezpečnosti podle metodik publikovaných NÚKIB</w:t>
      </w:r>
    </w:p>
    <w:p>
      <w:pPr>
        <w:pStyle w:val="P28"/>
        <w:framePr w:w="3921" w:h="607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01"/>
        <w:rPr>
          <w:rStyle w:val="C13"/>
          <w:rtl w:val="0"/>
        </w:rPr>
      </w:pPr>
      <w:r>
        <w:rPr>
          <w:rStyle w:val="C13"/>
          <w:rtl w:val="0"/>
        </w:rPr>
        <w:t>b) Vysvětlit zásady návrhu architektury kybernetické bezpečnosti</w:t>
      </w:r>
    </w:p>
    <w:p>
      <w:pPr>
        <w:pStyle w:val="P30"/>
        <w:framePr w:w="3921" w:h="376" w:hRule="exact" w:wrap="none" w:vAnchor="page" w:hAnchor="margin" w:x="6800" w:y="9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7"/>
        <w:rPr>
          <w:rStyle w:val="C11"/>
          <w:rtl w:val="0"/>
        </w:rPr>
      </w:pPr>
      <w:r>
        <w:rPr>
          <w:rStyle w:val="C11"/>
          <w:rtl w:val="0"/>
        </w:rPr>
        <w:t>c) Vysvětlit vedení dokumentace IS a služeb ICT v modelech, které jsou v souladu se standardy TOGAF a ArchiMate</w:t>
      </w:r>
    </w:p>
    <w:p>
      <w:pPr>
        <w:pStyle w:val="P28"/>
        <w:framePr w:w="3921" w:h="607" w:hRule="exact" w:wrap="none" w:vAnchor="page" w:hAnchor="margin" w:x="6800" w:y="9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7"/>
        <w:rPr>
          <w:rStyle w:val="C18"/>
          <w:rtl w:val="0"/>
        </w:rPr>
      </w:pPr>
      <w:r>
        <w:rPr>
          <w:rStyle w:val="C18"/>
          <w:rtl w:val="0"/>
        </w:rPr>
        <w:t>Orientace v pojmech a definicích z oblasti návrhu architektury informačních systémů</w:t>
      </w:r>
    </w:p>
    <w:p>
      <w:pPr>
        <w:pStyle w:val="P24"/>
        <w:framePr w:w="6713" w:h="376" w:hRule="exact" w:wrap="none" w:vAnchor="page" w:hAnchor="margin" w:x="45" w:y="115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8"/>
        <w:rPr>
          <w:rStyle w:val="C11"/>
          <w:rtl w:val="0"/>
        </w:rPr>
      </w:pPr>
      <w:r>
        <w:rPr>
          <w:rStyle w:val="C11"/>
          <w:rtl w:val="0"/>
        </w:rPr>
        <w:t>a) Aplikovat pojmy z oblasti procesní architektury (firemní procesy, datové toky) dle konkrétního zadání</w:t>
      </w:r>
    </w:p>
    <w:p>
      <w:pPr>
        <w:pStyle w:val="P28"/>
        <w:framePr w:w="3921" w:h="607" w:hRule="exact" w:wrap="none" w:vAnchor="page" w:hAnchor="margin" w:x="6800" w:y="118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5"/>
        <w:rPr>
          <w:rStyle w:val="C13"/>
          <w:rtl w:val="0"/>
        </w:rPr>
      </w:pPr>
      <w:r>
        <w:rPr>
          <w:rStyle w:val="C13"/>
          <w:rtl w:val="0"/>
        </w:rPr>
        <w:t>b) Prokázat znalost v pojmech a procesech CSIRT týmů (ve smyslu RFC 2350)</w:t>
      </w:r>
    </w:p>
    <w:p>
      <w:pPr>
        <w:pStyle w:val="P30"/>
        <w:framePr w:w="3921" w:h="607" w:hRule="exact" w:wrap="none" w:vAnchor="page" w:hAnchor="margin" w:x="6800" w:y="12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21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Kapacitní plánování při návrhu architektury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oblasti řízení finančních zdrojů (stanovení rozpočtu dle potřeby prioritizace realizačních projektů a rozdělení na etapy)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v základních pojmech z oblasti řízení lidských zdrojů (alokace lidských zdrojů dle potřeby prioritizace realizačních projektů a rozdělení na etapy)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Identifikovat požadavky na zajištění kybernetické bezpečnosti a aplikovat jednotlivé požadavky do návrhu architektury kybernetické bezpečnosti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Začlenění řízení rizik do architektury kybernetické bezpečnosti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analýzu rizik 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Prokázat znalost v principech stanovení aktiv včetně určení jejich hodnoty, hrozeb, zranitelností, dopadů, odpovědností a opatření v rámci kybernetické bezpečnosti dle vyhlášky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6"/>
        <w:rPr>
          <w:rStyle w:val="C11"/>
          <w:rtl w:val="0"/>
        </w:rPr>
      </w:pPr>
      <w:r>
        <w:rPr>
          <w:rStyle w:val="C11"/>
          <w:rtl w:val="0"/>
        </w:rPr>
        <w:t>c) Aplikovat vybranou metodu řízení rizik do návrhu architektury kybernetické bezpečnosti</w:t>
      </w:r>
    </w:p>
    <w:p>
      <w:pPr>
        <w:pStyle w:val="P28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646"/>
        <w:rPr>
          <w:rStyle w:val="C18"/>
          <w:rtl w:val="0"/>
        </w:rPr>
      </w:pPr>
      <w:r>
        <w:rPr>
          <w:rStyle w:val="C18"/>
          <w:rtl w:val="0"/>
        </w:rPr>
        <w:t>Uplatnění technických bezpečnostních prvků (security devices) v architektuře informačních systémů</w:t>
      </w:r>
    </w:p>
    <w:p>
      <w:pPr>
        <w:pStyle w:val="P24"/>
        <w:framePr w:w="6713" w:h="376" w:hRule="exact" w:wrap="none" w:vAnchor="page" w:hAnchor="margin" w:x="45" w:y="102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4"/>
        <w:rPr>
          <w:rStyle w:val="C11"/>
          <w:rtl w:val="0"/>
        </w:rPr>
      </w:pPr>
      <w:r>
        <w:rPr>
          <w:rStyle w:val="C11"/>
          <w:rtl w:val="0"/>
        </w:rPr>
        <w:t>a) Specifikovat a navrhnout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06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1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12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8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1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8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45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pro zaznamenávání činností informačních systémů podporujících regulovanou službu podle zákona č. 264/2025 Sb., o kybernetické bezpečnosti, ve znění pozdějších předpisů,  jejich uživatelů a administrátorů a popsat možnosti jejich uplatnění</w:t>
      </w:r>
    </w:p>
    <w:p>
      <w:pPr>
        <w:pStyle w:val="P30"/>
        <w:framePr w:w="3921" w:h="1055" w:hRule="exact" w:wrap="none" w:vAnchor="page" w:hAnchor="margin" w:x="6800" w:y="1248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 a popsat možnosti jejich uplatnění</w:t>
      </w:r>
    </w:p>
    <w:p>
      <w:pPr>
        <w:pStyle w:val="P28"/>
        <w:framePr w:w="3921" w:h="831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1"/>
        <w:rPr>
          <w:rStyle w:val="C13"/>
          <w:rtl w:val="0"/>
        </w:rPr>
      </w:pPr>
      <w:r>
        <w:rPr>
          <w:rStyle w:val="C13"/>
          <w:rtl w:val="0"/>
        </w:rPr>
        <w:t>f) Specifikovat kryptografické prostředky a popsat možnosti jejich uplatnění</w:t>
      </w:r>
    </w:p>
    <w:p>
      <w:pPr>
        <w:pStyle w:val="P30"/>
        <w:framePr w:w="3921" w:h="376" w:hRule="exact" w:wrap="none" w:vAnchor="page" w:hAnchor="margin" w:x="6800" w:y="143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Principy návrhu bezpečné architektury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topologie počítačových sítí a jejich výhody a nevýhody při tvorbě bezpečné architektury. Navrhnout vhodnou topologii počítačové sítě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a popsat druhy komunikačních protokolů a jejich základní specifikace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principy logické a fyzické stavby sítě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metody ověřování úrovně bezpečnosti systému – audit, penetrační testy, zátěžové testy, typická selhání a reakce na ně v oblasti architektury systému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64"/>
        <w:rPr>
          <w:rStyle w:val="C18"/>
          <w:rtl w:val="0"/>
        </w:rPr>
      </w:pPr>
      <w:r>
        <w:rPr>
          <w:rStyle w:val="C18"/>
          <w:rtl w:val="0"/>
        </w:rPr>
        <w:t>Principy realizace jednotlivých bezpečnostních opatření podle zákona o kybernetické bezpečnosti</w:t>
      </w:r>
    </w:p>
    <w:p>
      <w:pPr>
        <w:pStyle w:val="P24"/>
        <w:framePr w:w="6713" w:h="376" w:hRule="exact" w:wrap="none" w:vAnchor="page" w:hAnchor="margin" w:x="45" w:y="6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35"/>
        <w:rPr>
          <w:rStyle w:val="C11"/>
          <w:rtl w:val="0"/>
        </w:rPr>
      </w:pPr>
      <w:r>
        <w:rPr>
          <w:rStyle w:val="C11"/>
          <w:rtl w:val="0"/>
        </w:rPr>
        <w:t>a) Popsat obecně platný přístup k implementaci bezpečnostních opatření podle zákona č. 264/2025 Sb., o kybernetické bezpečnosti, ve znění pozdějších předpisů, (přístup na základě analýzy rizik, přiměřenosti)</w:t>
      </w:r>
    </w:p>
    <w:p>
      <w:pPr>
        <w:pStyle w:val="P28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Vysvětlit princip kontinuálního zlepšování a plánování</w:t>
      </w:r>
    </w:p>
    <w:p>
      <w:pPr>
        <w:pStyle w:val="P30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c) Dle konkrétního zadání vyjmenovat a popsat aplikaci alespoň pěti vhodných technických opatření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35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9254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8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284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1459" w:y="1241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970" w:h="230" w:hRule="exact" w:wrap="none" w:vAnchor="page" w:hAnchor="margin" w:x="2217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3230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9"/>
        <w:framePr w:w="375" w:h="245" w:hRule="exact" w:wrap="none" w:vAnchor="page" w:hAnchor="margin" w:x="28" w:y="126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9"/>
        <w:framePr w:w="375" w:h="245" w:hRule="exact" w:wrap="none" w:vAnchor="page" w:hAnchor="margin" w:x="28" w:y="131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5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180</w:t>
      </w:r>
    </w:p>
    <w:p>
      <w:pPr>
        <w:pStyle w:val="P38"/>
        <w:framePr w:w="860" w:h="230" w:hRule="exact" w:wrap="none" w:vAnchor="page" w:hAnchor="margin" w:x="383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73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43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58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864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58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448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906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4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791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1479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1479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14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1479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1479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14791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14791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1479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15022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1502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150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1502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3000" w:y="1502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2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15271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15271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1527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1527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1527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1527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1527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1527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1527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15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152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1527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58" w:h="230" w:hRule="exact" w:wrap="none" w:vAnchor="page" w:hAnchor="margin" w:x="9945" w:y="1527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5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1552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15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1552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1552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1552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1552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155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15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462" w:y="155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15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240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240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240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240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240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240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240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24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240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0" w:y="240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74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87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87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87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87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87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87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87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8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87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226" w:h="230" w:hRule="exact" w:wrap="none" w:vAnchor="page" w:hAnchor="margin" w:x="9211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241" w:h="230" w:hRule="exact" w:wrap="none" w:vAnchor="page" w:hAnchor="margin" w:x="9480" w:y="287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9763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411" w:y="2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310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31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310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4152" w:y="31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46" w:h="230" w:hRule="exact" w:wrap="none" w:vAnchor="page" w:hAnchor="margin" w:x="4478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467" w:y="310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3354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3354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335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335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335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335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335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3354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3354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335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3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35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35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35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000" w:y="35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383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83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3834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38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3834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38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383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383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383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383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383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383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38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38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9945" w:y="383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0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4084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408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408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408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408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408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408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408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4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8462" w:y="408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40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5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456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456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456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456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456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456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456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45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45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45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45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7800" w:y="456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28" w:y="479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47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479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479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47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47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47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47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47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47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47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4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47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479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47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02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02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5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5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5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550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55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550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55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550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550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550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550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55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550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550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550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550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550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573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573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573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573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573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573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59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2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2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2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2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620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62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62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62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64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645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6450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645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6450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6450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6450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6450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6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6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6450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64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6450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66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66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6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66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66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66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6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66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66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66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66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66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668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69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9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9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93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9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9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930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93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93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93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9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93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93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93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9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716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716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716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716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1181" w:h="230" w:hRule="exact" w:wrap="none" w:vAnchor="page" w:hAnchor="margin" w:x="28" w:y="73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3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39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39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73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739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739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7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7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7396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7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73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7396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7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02" w:h="230" w:hRule="exact" w:wrap="none" w:vAnchor="page" w:hAnchor="margin" w:x="388" w:y="7645"/>
        <w:rPr>
          <w:rStyle w:val="C26"/>
          <w:rtl w:val="0"/>
        </w:rPr>
      </w:pPr>
      <w:r>
        <w:rPr>
          <w:rStyle w:val="C26"/>
          <w:rtl w:val="0"/>
        </w:rPr>
        <w:t>Principy</w:t>
      </w:r>
    </w:p>
    <w:p>
      <w:pPr>
        <w:pStyle w:val="P37"/>
        <w:framePr w:w="860" w:h="230" w:hRule="exact" w:wrap="none" w:vAnchor="page" w:hAnchor="margin" w:x="1233" w:y="764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81" w:h="230" w:hRule="exact" w:wrap="none" w:vAnchor="page" w:hAnchor="margin" w:x="2136" w:y="7645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522" w:h="230" w:hRule="exact" w:wrap="none" w:vAnchor="page" w:hAnchor="margin" w:x="3360" w:y="7645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802" w:h="230" w:hRule="exact" w:wrap="none" w:vAnchor="page" w:hAnchor="margin" w:x="4924" w:y="7645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7"/>
        <w:framePr w:w="548" w:h="230" w:hRule="exact" w:wrap="none" w:vAnchor="page" w:hAnchor="margin" w:x="5769" w:y="7645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692" w:h="230" w:hRule="exact" w:wrap="none" w:vAnchor="page" w:hAnchor="margin" w:x="6360" w:y="7645"/>
        <w:rPr>
          <w:rStyle w:val="C26"/>
          <w:rtl w:val="0"/>
        </w:rPr>
      </w:pPr>
      <w:r>
        <w:rPr>
          <w:rStyle w:val="C26"/>
          <w:rtl w:val="0"/>
        </w:rPr>
        <w:t>zákona</w:t>
      </w:r>
    </w:p>
    <w:p>
      <w:pPr>
        <w:pStyle w:val="P37"/>
        <w:framePr w:w="140" w:h="230" w:hRule="exact" w:wrap="none" w:vAnchor="page" w:hAnchor="margin" w:x="7094" w:y="764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34" w:h="230" w:hRule="exact" w:wrap="none" w:vAnchor="page" w:hAnchor="margin" w:x="7276" w:y="764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8553" w:y="764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9705" w:y="764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9820" w:y="76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14" w:y="7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87" w:y="78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960" w:y="7876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8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11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11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11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78" w:h="230" w:hRule="exact" w:wrap="none" w:vAnchor="page" w:hAnchor="margin" w:x="3801" w:y="8111"/>
        <w:rPr>
          <w:rStyle w:val="C27"/>
          <w:rtl w:val="0"/>
        </w:rPr>
      </w:pPr>
      <w:r>
        <w:rPr>
          <w:rStyle w:val="C27"/>
          <w:rtl w:val="0"/>
        </w:rPr>
        <w:t>jednoho zadání</w:t>
      </w:r>
    </w:p>
    <w:p>
      <w:pPr>
        <w:pStyle w:val="P38"/>
        <w:framePr w:w="303" w:h="230" w:hRule="exact" w:wrap="none" w:vAnchor="page" w:hAnchor="margin" w:x="5222" w:y="81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68" w:y="811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38" w:y="811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4" w:y="811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2" w:y="8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577" w:y="81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124" w:y="81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50" w:h="230" w:hRule="exact" w:wrap="none" w:vAnchor="page" w:hAnchor="margin" w:x="9782" w:y="81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79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16" w:h="230" w:hRule="exact" w:wrap="none" w:vAnchor="page" w:hAnchor="margin" w:x="864" w:y="83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22" w:y="8341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682" w:h="230" w:hRule="exact" w:wrap="none" w:vAnchor="page" w:hAnchor="margin" w:x="1680" w:y="83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2404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577" w:y="834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35" w:y="83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518" w:y="834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649" w:h="230" w:hRule="exact" w:wrap="none" w:vAnchor="page" w:hAnchor="margin" w:x="4387" w:y="834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5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690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Kritéria hodnocení,</w:t>
      </w:r>
    </w:p>
    <w:p>
      <w:pPr>
        <w:pStyle w:val="P38"/>
        <w:framePr w:w="130" w:h="230" w:hRule="exact" w:wrap="none" w:vAnchor="page" w:hAnchor="margin" w:x="1761" w:y="88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4" w:y="881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35" w:y="8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1" w:y="8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78" w:y="881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79" w:y="88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4" w:y="8812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4" w:y="881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0" w:y="881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4" w:y="88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" w:h="230" w:hRule="exact" w:wrap="none" w:vAnchor="page" w:hAnchor="margin" w:x="7699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495" w:h="230" w:hRule="exact" w:wrap="none" w:vAnchor="page" w:hAnchor="margin" w:x="7756" w:y="8812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4" w:y="88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4" w:y="881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904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904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90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90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904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9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9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9047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90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904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9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92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92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9297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9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9297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9297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929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9297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9297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92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929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9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9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662" w:y="92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835" w:y="92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10008" w:y="929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95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5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95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9532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9532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95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953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9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72" w:y="9532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43" w:y="953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8" w:y="953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7" w:y="95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8582" w:y="953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9297" w:y="9532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921" w:y="9762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2179" w:y="97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2870" w:y="976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417" w:y="976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075" w:y="9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4248" w:y="976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4694" w:y="9762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5376" w:y="9762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5846" w:y="9762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6403" w:y="9762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7804" w:y="9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088" w:y="976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678" w:y="97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37" w:y="97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28" w:y="976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8" w:y="999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720" w:y="9993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377" w:y="9993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035" w:y="99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318" w:y="999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02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046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0463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0463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0463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0463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04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59" w:y="10463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149" w:h="230" w:hRule="exact" w:wrap="none" w:vAnchor="page" w:hAnchor="margin" w:x="28" w:y="106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20" w:y="106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945" w:y="106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737" w:y="106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13" w:h="230" w:hRule="exact" w:wrap="none" w:vAnchor="page" w:hAnchor="margin" w:x="2836" w:y="10698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3792" w:y="10698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4780" w:y="1069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5097" w:y="10698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822" w:y="10698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7022" w:y="1069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047" w:h="230" w:hRule="exact" w:wrap="none" w:vAnchor="page" w:hAnchor="margin" w:x="8299" w:y="10698"/>
        <w:rPr>
          <w:rStyle w:val="C26"/>
          <w:rtl w:val="0"/>
        </w:rPr>
      </w:pPr>
      <w:r>
        <w:rPr>
          <w:rStyle w:val="C26"/>
          <w:rtl w:val="0"/>
        </w:rPr>
        <w:t>bezpečnos</w:t>
      </w:r>
    </w:p>
    <w:p>
      <w:pPr>
        <w:pStyle w:val="P41"/>
        <w:framePr w:w="140" w:h="230" w:hRule="exact" w:wrap="none" w:vAnchor="page" w:hAnchor="margin" w:x="9331" w:y="10698"/>
        <w:rPr>
          <w:rStyle w:val="C30"/>
          <w:rtl w:val="0"/>
        </w:rPr>
      </w:pPr>
      <w:r>
        <w:rPr>
          <w:rStyle w:val="C30"/>
          <w:rtl w:val="0"/>
        </w:rPr>
        <w:t>ti</w:t>
      </w:r>
    </w:p>
    <w:p>
      <w:pPr>
        <w:pStyle w:val="P42"/>
        <w:framePr w:w="73" w:h="230" w:hRule="exact" w:wrap="none" w:vAnchor="page" w:hAnchor="margin" w:x="9456" w:y="10698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9571" w:y="106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0396" w:y="106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8" w:y="109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9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1833" w:y="109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2481" w:y="109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03" w:h="230" w:hRule="exact" w:wrap="none" w:vAnchor="page" w:hAnchor="margin" w:x="2654" w:y="109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3600" w:y="1092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116" w:h="230" w:hRule="exact" w:wrap="none" w:vAnchor="page" w:hAnchor="margin" w:x="4248" w:y="109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406" w:y="109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4929" w:y="109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131" w:y="109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932" w:y="109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216" w:y="109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35" w:h="230" w:hRule="exact" w:wrap="none" w:vAnchor="page" w:hAnchor="margin" w:x="7008" w:y="1092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785" w:y="10929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826" w:h="230" w:hRule="exact" w:wrap="none" w:vAnchor="page" w:hAnchor="margin" w:x="8390" w:y="10929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572" w:h="230" w:hRule="exact" w:wrap="none" w:vAnchor="page" w:hAnchor="margin" w:x="9259" w:y="1092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15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4" w:y="1115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69" w:h="230" w:hRule="exact" w:wrap="none" w:vAnchor="page" w:hAnchor="margin" w:x="1564" w:y="1115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2376" w:y="11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3177" w:y="111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41" w:h="230" w:hRule="exact" w:wrap="none" w:vAnchor="page" w:hAnchor="margin" w:x="400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286" w:y="1115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4833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006" w:y="1115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83" w:h="230" w:hRule="exact" w:wrap="none" w:vAnchor="page" w:hAnchor="margin" w:x="5875" w:y="11159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8"/>
        <w:framePr w:w="116" w:h="230" w:hRule="exact" w:wrap="none" w:vAnchor="page" w:hAnchor="margin" w:x="6700" w:y="11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735" w:h="230" w:hRule="exact" w:wrap="none" w:vAnchor="page" w:hAnchor="margin" w:x="7627" w:y="1115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6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6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6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6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6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6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6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8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8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8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8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8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8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3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3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3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3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3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3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3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3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3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3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3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architekta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090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3 případových studií,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9 hodin (hodinou se rozumí 60 minut). Celková doba trvání písemné části zkoušky jednoho uchazeče je 120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87EDD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87E33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334A4E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8C27C9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