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D3C3D" Type="http://schemas.openxmlformats.org/officeDocument/2006/relationships/officeDocument" Target="/word/document.xml" /><Relationship Id="coreR2F2D3C3D" Type="http://schemas.openxmlformats.org/package/2006/relationships/metadata/core-properties" Target="/docProps/core.xml" /><Relationship Id="customR2F2D3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technických prostředků kybernetické bezpečnosti (security devices) v analýze kybernetických hrozeb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informací o kybernetických hrozbách –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09.07.2026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orientaci v obsahu jednotlivých částí zákona č. 264/2025 Sb., o kybernetické bezpečnosti,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410/2025 Sb., o bezpečnostních opatřeních poskytovatele regulované služby v režimu nižších povinností, ve znění pozdějších předpisů), které jsou zaměřeny na analýzu incidentů</w:t>
      </w:r>
    </w:p>
    <w:p>
      <w:pPr>
        <w:pStyle w:val="P30"/>
        <w:framePr w:w="3921" w:h="1728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42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6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7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3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90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8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6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8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7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9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4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0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0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0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1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Analyzovat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technických prostředků kybernetické bezpečnosti (security devices) v analýze kybernetických hrozeb</w:t>
      </w:r>
    </w:p>
    <w:p>
      <w:pPr>
        <w:pStyle w:val="P24"/>
        <w:framePr w:w="6713" w:h="376" w:hRule="exact" w:wrap="none" w:vAnchor="page" w:hAnchor="margin" w:x="45" w:y="72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a) Specifikovat nástroje a jejich využívání pro ochranu integrity komunikačních sítí</w:t>
      </w:r>
    </w:p>
    <w:p>
      <w:pPr>
        <w:pStyle w:val="P28"/>
        <w:framePr w:w="3921" w:h="607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9"/>
        <w:rPr>
          <w:rStyle w:val="C13"/>
          <w:rtl w:val="0"/>
        </w:rPr>
      </w:pPr>
      <w:r>
        <w:rPr>
          <w:rStyle w:val="C13"/>
          <w:rtl w:val="0"/>
        </w:rPr>
        <w:t xml:space="preserve">b) Specifikovat nástroje a jejich  využívání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6"/>
        <w:rPr>
          <w:rStyle w:val="C11"/>
          <w:rtl w:val="0"/>
        </w:rPr>
      </w:pPr>
      <w:r>
        <w:rPr>
          <w:rStyle w:val="C11"/>
          <w:rtl w:val="0"/>
        </w:rPr>
        <w:t xml:space="preserve">c) Specifikovat nástroje a jejich  využívání pro ochranu před škodlivým kódem</w:t>
      </w:r>
    </w:p>
    <w:p>
      <w:pPr>
        <w:pStyle w:val="P28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45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13"/>
        <w:rPr>
          <w:rStyle w:val="C13"/>
          <w:rtl w:val="0"/>
        </w:rPr>
      </w:pPr>
      <w:r>
        <w:rPr>
          <w:rStyle w:val="C13"/>
          <w:rtl w:val="0"/>
        </w:rPr>
        <w:t xml:space="preserve">d) Specifikovat nástroje a jejich  využívání pro zaznamenávání činností informačních systémů podporujících regulovanou službu podle zákona č. 264/2025 Sb., o kybernetické bezpečnosti, ve znění pozdějších předpisů, jejich uživatelů a administrátorů</w:t>
      </w:r>
    </w:p>
    <w:p>
      <w:pPr>
        <w:pStyle w:val="P30"/>
        <w:framePr w:w="3921" w:h="1055" w:hRule="exact" w:wrap="none" w:vAnchor="page" w:hAnchor="margin" w:x="6800" w:y="945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8"/>
        <w:rPr>
          <w:rStyle w:val="C11"/>
          <w:rtl w:val="0"/>
        </w:rPr>
      </w:pPr>
      <w:r>
        <w:rPr>
          <w:rStyle w:val="C11"/>
          <w:rtl w:val="0"/>
        </w:rPr>
        <w:t xml:space="preserve">e) Specifikovat nástroje a jejich  využívání pro detekci kybernetických bezpečnostních událostí a nástroj pro sběr, analýzu a vyhodnocování kybernetických bezpečnostních událostí</w:t>
      </w:r>
    </w:p>
    <w:p>
      <w:pPr>
        <w:pStyle w:val="P28"/>
        <w:framePr w:w="3921" w:h="831" w:hRule="exact" w:wrap="none" w:vAnchor="page" w:hAnchor="margin" w:x="6800" w:y="10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9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11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99"/>
        <w:rPr>
          <w:rStyle w:val="C18"/>
          <w:rtl w:val="0"/>
        </w:rPr>
      </w:pPr>
      <w:r>
        <w:rPr>
          <w:rStyle w:val="C18"/>
          <w:rtl w:val="0"/>
        </w:rPr>
        <w:t>Využívání informací o kybernetických hrozbách – cyber threat intelligence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fáze kybernetického útoku – cyber kill chain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Vysvětlit pojem TTP – taktiky, techniky a postupy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144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14820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14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14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14820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148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9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495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9"/>
        <w:framePr w:w="793" w:h="230" w:hRule="exact" w:wrap="none" w:vAnchor="page" w:hAnchor="margin" w:x="6072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3" w:h="230" w:hRule="exact" w:wrap="none" w:vAnchor="page" w:hAnchor="margin" w:x="28" w:y="12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6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67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6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67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6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67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67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6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67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93" w:h="230" w:hRule="exact" w:wrap="none" w:vAnchor="page" w:hAnchor="margin" w:x="5534" w:y="1267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9"/>
        <w:framePr w:w="1081" w:h="230" w:hRule="exact" w:wrap="none" w:vAnchor="page" w:hAnchor="margin" w:x="6470" w:y="1267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9"/>
        <w:framePr w:w="130" w:h="230" w:hRule="exact" w:wrap="none" w:vAnchor="page" w:hAnchor="margin" w:x="7593" w:y="12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495" w:h="230" w:hRule="exact" w:wrap="none" w:vAnchor="page" w:hAnchor="margin" w:x="7766" w:y="1267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9"/>
        <w:framePr w:w="793" w:h="230" w:hRule="exact" w:wrap="none" w:vAnchor="page" w:hAnchor="margin" w:x="8304" w:y="12670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1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291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29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29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291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291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29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291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29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291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291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291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291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15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1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1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15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15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150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150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15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3" w:h="230" w:hRule="exact" w:wrap="none" w:vAnchor="page" w:hAnchor="margin" w:x="28" w:y="13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3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362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3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3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3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36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3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362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93" w:h="230" w:hRule="exact" w:wrap="none" w:vAnchor="page" w:hAnchor="margin" w:x="5534" w:y="1362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9"/>
        <w:framePr w:w="1081" w:h="230" w:hRule="exact" w:wrap="none" w:vAnchor="page" w:hAnchor="margin" w:x="6470" w:y="1362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40"/>
        <w:framePr w:w="73" w:h="230" w:hRule="exact" w:wrap="none" w:vAnchor="page" w:hAnchor="margin" w:x="7536" w:y="1362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1"/>
        <w:framePr w:w="375" w:h="245" w:hRule="exact" w:wrap="none" w:vAnchor="page" w:hAnchor="margin" w:x="28" w:y="138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27" w:h="230" w:hRule="exact" w:wrap="none" w:vAnchor="page" w:hAnchor="margin" w:x="388" w:y="138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447" w:h="230" w:hRule="exact" w:wrap="none" w:vAnchor="page" w:hAnchor="margin" w:x="1358" w:y="138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0"/>
        <w:framePr w:w="802" w:h="230" w:hRule="exact" w:wrap="none" w:vAnchor="page" w:hAnchor="margin" w:x="1848" w:y="138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836" w:h="230" w:hRule="exact" w:wrap="none" w:vAnchor="page" w:hAnchor="margin" w:x="2692" w:y="138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437" w:h="230" w:hRule="exact" w:wrap="none" w:vAnchor="page" w:hAnchor="margin" w:x="3571" w:y="13870"/>
        <w:rPr>
          <w:rStyle w:val="C27"/>
          <w:rtl w:val="0"/>
        </w:rPr>
      </w:pPr>
      <w:r>
        <w:rPr>
          <w:rStyle w:val="C27"/>
          <w:rtl w:val="0"/>
        </w:rPr>
        <w:t>úkol.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434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434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434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434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434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4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434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48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48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48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461" w:h="230" w:hRule="exact" w:wrap="none" w:vAnchor="page" w:hAnchor="margin" w:x="2836" w:y="14811"/>
        <w:rPr>
          <w:rStyle w:val="C26"/>
          <w:rtl w:val="0"/>
        </w:rPr>
      </w:pPr>
      <w:r>
        <w:rPr>
          <w:rStyle w:val="C26"/>
          <w:rtl w:val="0"/>
        </w:rPr>
        <w:t>Sběr</w:t>
      </w:r>
    </w:p>
    <w:p>
      <w:pPr>
        <w:pStyle w:val="P39"/>
        <w:framePr w:w="317" w:h="230" w:hRule="exact" w:wrap="none" w:vAnchor="page" w:hAnchor="margin" w:x="3340" w:y="1481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9"/>
        <w:framePr w:w="130" w:h="230" w:hRule="exact" w:wrap="none" w:vAnchor="page" w:hAnchor="margin" w:x="3700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35" w:h="230" w:hRule="exact" w:wrap="none" w:vAnchor="page" w:hAnchor="margin" w:x="3873" w:y="14811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9"/>
        <w:framePr w:w="548" w:h="230" w:hRule="exact" w:wrap="none" w:vAnchor="page" w:hAnchor="margin" w:x="4651" w:y="14811"/>
        <w:rPr>
          <w:rStyle w:val="C26"/>
          <w:rtl w:val="0"/>
        </w:rPr>
      </w:pPr>
      <w:r>
        <w:rPr>
          <w:rStyle w:val="C26"/>
          <w:rtl w:val="0"/>
        </w:rPr>
        <w:t>údajů</w:t>
      </w:r>
    </w:p>
    <w:p>
      <w:pPr>
        <w:pStyle w:val="P39"/>
        <w:framePr w:w="130" w:h="230" w:hRule="exact" w:wrap="none" w:vAnchor="page" w:hAnchor="margin" w:x="5241" w:y="1481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658" w:h="230" w:hRule="exact" w:wrap="none" w:vAnchor="page" w:hAnchor="margin" w:x="5414" w:y="14811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9"/>
        <w:framePr w:w="1234" w:h="230" w:hRule="exact" w:wrap="none" w:vAnchor="page" w:hAnchor="margin" w:x="6115" w:y="1481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9"/>
        <w:framePr w:w="1167" w:h="230" w:hRule="exact" w:wrap="none" w:vAnchor="page" w:hAnchor="margin" w:x="7392" w:y="14811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8544" w:y="14811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40"/>
        <w:framePr w:w="783" w:h="230" w:hRule="exact" w:wrap="none" w:vAnchor="page" w:hAnchor="margin" w:x="8659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484" w:y="148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28" w:y="150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1833" w:y="1504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2481" w:y="1504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2654" w:y="1504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3600" w:y="15041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4248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4406" w:y="150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4929" w:y="150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5131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5932" w:y="150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6216" w:y="150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7008" w:y="1504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7785" w:y="1504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8390" w:y="15041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9259" w:y="150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74" w:y="15271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156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2376" w:y="15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3177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4003" w:y="15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4286" w:y="15271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4833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5006" w:y="1527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5875" w:y="15271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6700" w:y="152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6859" w:y="15271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7627" w:y="1527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765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4147" w:hRule="exact" w:wrap="none" w:vAnchor="page" w:hAnchor="margin" w:x="0" w:y="97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599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Učebna odpovídající bezpečnostním a hygienickým předpisům, stoly, židle,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595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5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6:47:44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6F9C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26E3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A1E2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55C2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1FD8B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