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192C0" Type="http://schemas.openxmlformats.org/officeDocument/2006/relationships/officeDocument" Target="/word/document.xml" /><Relationship Id="coreR74192C0" Type="http://schemas.openxmlformats.org/package/2006/relationships/metadata/core-properties" Target="/docProps/core.xml" /><Relationship Id="customR74192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základů kybernetické bezpečnosti při analýze incidentů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Sběr dat a analýza údajů v oblasti kybernetické bezpečnosti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kybernetické hrozby a typu útoku pro potřeby analýzy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technických prostředků kybernetické bezpečnosti (security devices) v analýze kybernetických hrozeb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informací o kybernetických hrozbách – cyber threat intelligence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09.07.2026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2.8.2026 16:30:53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základů kybernetické bezpečnosti při analýze incidentů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orientaci v obsahu jednotlivých částí zákona č. 264/2025 Sb., o kybernetické bezpečnosti, ve znění pozdějších předpisů, které jsou zaměřeny na analýzu incidentů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části prováděcích předpisů vztahujících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410/2025 Sb., o bezpečnostních opatřeních poskytovatele regulované služby v režimu nižších povinností, ve znění pozdějších předpisů), které jsou zaměřeny na analýzu incidentů</w:t>
      </w:r>
    </w:p>
    <w:p>
      <w:pPr>
        <w:pStyle w:val="P30"/>
        <w:framePr w:w="3921" w:h="1728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0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42"/>
        <w:rPr>
          <w:rStyle w:val="C11"/>
          <w:rtl w:val="0"/>
        </w:rPr>
      </w:pPr>
      <w:r>
        <w:rPr>
          <w:rStyle w:val="C11"/>
          <w:rtl w:val="0"/>
        </w:rPr>
        <w:t>c) Vyplnit hlášení kybernetického bezpečnostního incidentu</w:t>
      </w:r>
    </w:p>
    <w:p>
      <w:pPr>
        <w:pStyle w:val="P28"/>
        <w:framePr w:w="3921" w:h="376" w:hRule="exact" w:wrap="none" w:vAnchor="page" w:hAnchor="margin" w:x="6800" w:y="60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12"/>
        <w:rPr>
          <w:rStyle w:val="C18"/>
          <w:rtl w:val="0"/>
        </w:rPr>
      </w:pPr>
      <w:r>
        <w:rPr>
          <w:rStyle w:val="C18"/>
          <w:rtl w:val="0"/>
        </w:rPr>
        <w:t>Sběr dat a analýza údajů v oblasti kybernetické bezpečnosti</w:t>
      </w:r>
    </w:p>
    <w:p>
      <w:pPr>
        <w:pStyle w:val="P24"/>
        <w:framePr w:w="6713" w:h="376" w:hRule="exact" w:wrap="none" w:vAnchor="page" w:hAnchor="margin" w:x="45" w:y="7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3"/>
        <w:rPr>
          <w:rStyle w:val="C11"/>
          <w:rtl w:val="0"/>
        </w:rPr>
      </w:pPr>
      <w:r>
        <w:rPr>
          <w:rStyle w:val="C11"/>
          <w:rtl w:val="0"/>
        </w:rPr>
        <w:t>a) Definovat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78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90"/>
        <w:rPr>
          <w:rStyle w:val="C13"/>
          <w:rtl w:val="0"/>
        </w:rPr>
      </w:pPr>
      <w:r>
        <w:rPr>
          <w:rStyle w:val="C13"/>
          <w:rtl w:val="0"/>
        </w:rPr>
        <w:t>b) Provést analýzu údajů a sběru dat pro kybernetickou bezpečnost</w:t>
      </w:r>
    </w:p>
    <w:p>
      <w:pPr>
        <w:pStyle w:val="P30"/>
        <w:framePr w:w="3921" w:h="376" w:hRule="exact" w:wrap="none" w:vAnchor="page" w:hAnchor="margin" w:x="6800" w:y="8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8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66"/>
        <w:rPr>
          <w:rStyle w:val="C11"/>
          <w:rtl w:val="0"/>
        </w:rPr>
      </w:pPr>
      <w:r>
        <w:rPr>
          <w:rStyle w:val="C11"/>
          <w:rtl w:val="0"/>
        </w:rPr>
        <w:t>c) Vysvětlit postup při zpracování zpráv a výkazů pro dohledové centrum, požadavky rozlišení adresátů v souladu se zákonem o kybernetické bezpečnosti a jeho prováděcími předpisy</w:t>
      </w:r>
    </w:p>
    <w:p>
      <w:pPr>
        <w:pStyle w:val="P28"/>
        <w:framePr w:w="3921" w:h="831" w:hRule="exact" w:wrap="none" w:vAnchor="page" w:hAnchor="margin" w:x="6800" w:y="88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7"/>
        <w:rPr>
          <w:rStyle w:val="C13"/>
          <w:rtl w:val="0"/>
        </w:rPr>
      </w:pPr>
      <w:r>
        <w:rPr>
          <w:rStyle w:val="C13"/>
          <w:rtl w:val="0"/>
        </w:rPr>
        <w:t>d) Charakterizovat základní pojmy a procesy CSIRT týmů (ve smyslu RFC 2350)</w:t>
      </w:r>
    </w:p>
    <w:p>
      <w:pPr>
        <w:pStyle w:val="P30"/>
        <w:framePr w:w="3921" w:h="607" w:hRule="exact" w:wrap="none" w:vAnchor="page" w:hAnchor="margin" w:x="6800" w:y="96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04"/>
        <w:rPr>
          <w:rStyle w:val="C11"/>
          <w:rtl w:val="0"/>
        </w:rPr>
      </w:pPr>
      <w:r>
        <w:rPr>
          <w:rStyle w:val="C11"/>
          <w:rtl w:val="0"/>
        </w:rPr>
        <w:t>e) Vysvětlit pojem threat hunting s uvedením příkladů nad různými druhy dat</w:t>
      </w:r>
    </w:p>
    <w:p>
      <w:pPr>
        <w:pStyle w:val="P28"/>
        <w:framePr w:w="3921" w:h="376" w:hRule="exact" w:wrap="none" w:vAnchor="page" w:hAnchor="margin" w:x="6800" w:y="10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0"/>
        <w:rPr>
          <w:rStyle w:val="C13"/>
          <w:rtl w:val="0"/>
        </w:rPr>
      </w:pPr>
      <w:r>
        <w:rPr>
          <w:rStyle w:val="C13"/>
          <w:rtl w:val="0"/>
        </w:rPr>
        <w:t>f) Popsat a vysvětlit hlavní funkce SIEM</w:t>
      </w:r>
    </w:p>
    <w:p>
      <w:pPr>
        <w:pStyle w:val="P30"/>
        <w:framePr w:w="3921" w:h="376" w:hRule="exact" w:wrap="none" w:vAnchor="page" w:hAnchor="margin" w:x="6800" w:y="106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0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7"/>
        <w:rPr>
          <w:rStyle w:val="C11"/>
          <w:rtl w:val="0"/>
        </w:rPr>
      </w:pPr>
      <w:r>
        <w:rPr>
          <w:rStyle w:val="C11"/>
          <w:rtl w:val="0"/>
        </w:rPr>
        <w:t>g) Prezentovat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10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2.8.2026 16:30:53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Identifikace kybernetické hrozby a typu útoku pro potřeby analýzy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jednotlivé kategorie útoků – síťové útoky, útoky na uživatele, útoky na koncové stanice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DDoS a uvést typově podobné hrozby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pojem malware a specifikovat další typy škodlivého kódu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Vysvětlit phishing a uvést typově podobné hrozby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Vysvětlit sniffing a uvést typově podobné hrozby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pojem drive-by download a uvést typově podobné hrozby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Analyzovat známý rozsáhlý kybernetický útok dle výběru uchazeče a vysvětlit jeho části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Využívání technických prostředků kybernetické bezpečnosti (security devices) v analýze kybernetických hrozeb</w:t>
      </w:r>
    </w:p>
    <w:p>
      <w:pPr>
        <w:pStyle w:val="P24"/>
        <w:framePr w:w="6713" w:h="376" w:hRule="exact" w:wrap="none" w:vAnchor="page" w:hAnchor="margin" w:x="45" w:y="72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92"/>
        <w:rPr>
          <w:rStyle w:val="C11"/>
          <w:rtl w:val="0"/>
        </w:rPr>
      </w:pPr>
      <w:r>
        <w:rPr>
          <w:rStyle w:val="C11"/>
          <w:rtl w:val="0"/>
        </w:rPr>
        <w:t>a) Specifikovat nástroje a jejich využívání pro ochranu integrity komunikačních sítí</w:t>
      </w:r>
    </w:p>
    <w:p>
      <w:pPr>
        <w:pStyle w:val="P28"/>
        <w:framePr w:w="3921" w:h="607" w:hRule="exact" w:wrap="none" w:vAnchor="page" w:hAnchor="margin" w:x="6800" w:y="7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99"/>
        <w:rPr>
          <w:rStyle w:val="C13"/>
          <w:rtl w:val="0"/>
        </w:rPr>
      </w:pPr>
      <w:r>
        <w:rPr>
          <w:rStyle w:val="C13"/>
          <w:rtl w:val="0"/>
        </w:rPr>
        <w:t xml:space="preserve">b) Specifikovat nástroje a jejich  využívání pro ověřování identity uživatelů a řízení přístupových oprávnění</w:t>
      </w:r>
    </w:p>
    <w:p>
      <w:pPr>
        <w:pStyle w:val="P30"/>
        <w:framePr w:w="3921" w:h="607" w:hRule="exact" w:wrap="none" w:vAnchor="page" w:hAnchor="margin" w:x="6800" w:y="82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06"/>
        <w:rPr>
          <w:rStyle w:val="C11"/>
          <w:rtl w:val="0"/>
        </w:rPr>
      </w:pPr>
      <w:r>
        <w:rPr>
          <w:rStyle w:val="C11"/>
          <w:rtl w:val="0"/>
        </w:rPr>
        <w:t xml:space="preserve">c) Specifikovat nástroje a jejich  využívání pro ochranu před škodlivým kódem</w:t>
      </w:r>
    </w:p>
    <w:p>
      <w:pPr>
        <w:pStyle w:val="P28"/>
        <w:framePr w:w="3921" w:h="607" w:hRule="exact" w:wrap="none" w:vAnchor="page" w:hAnchor="margin" w:x="6800" w:y="8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45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513"/>
        <w:rPr>
          <w:rStyle w:val="C13"/>
          <w:rtl w:val="0"/>
        </w:rPr>
      </w:pPr>
      <w:r>
        <w:rPr>
          <w:rStyle w:val="C13"/>
          <w:rtl w:val="0"/>
        </w:rPr>
        <w:t xml:space="preserve">d) Specifikovat nástroje a jejich  využívání pro zaznamenávání činností informačních systémů podporujících regulovanou službu podle zákona č. 264/2025 Sb., o kybernetické bezpečnosti, ve znění pozdějších předpisů, jejich uživatelů a administrátorů</w:t>
      </w:r>
    </w:p>
    <w:p>
      <w:pPr>
        <w:pStyle w:val="P30"/>
        <w:framePr w:w="3921" w:h="1055" w:hRule="exact" w:wrap="none" w:vAnchor="page" w:hAnchor="margin" w:x="6800" w:y="945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5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68"/>
        <w:rPr>
          <w:rStyle w:val="C11"/>
          <w:rtl w:val="0"/>
        </w:rPr>
      </w:pPr>
      <w:r>
        <w:rPr>
          <w:rStyle w:val="C11"/>
          <w:rtl w:val="0"/>
        </w:rPr>
        <w:t xml:space="preserve">e) Specifikovat nástroje a jejich  využívání pro detekci kybernetických bezpečnostních událostí a nástroj pro sběr, analýzu a vyhodnocování kybernetických bezpečnostních událostí</w:t>
      </w:r>
    </w:p>
    <w:p>
      <w:pPr>
        <w:pStyle w:val="P28"/>
        <w:framePr w:w="3921" w:h="831" w:hRule="exact" w:wrap="none" w:vAnchor="page" w:hAnchor="margin" w:x="6800" w:y="105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99"/>
        <w:rPr>
          <w:rStyle w:val="C13"/>
          <w:rtl w:val="0"/>
        </w:rPr>
      </w:pPr>
      <w:r>
        <w:rPr>
          <w:rStyle w:val="C13"/>
          <w:rtl w:val="0"/>
        </w:rPr>
        <w:t>f) Předvést možnosti nastavení zaznamenávání činností (logování) OS Windows nebo Linux</w:t>
      </w:r>
    </w:p>
    <w:p>
      <w:pPr>
        <w:pStyle w:val="P30"/>
        <w:framePr w:w="3921" w:h="607" w:hRule="exact" w:wrap="none" w:vAnchor="page" w:hAnchor="margin" w:x="6800" w:y="113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99"/>
        <w:rPr>
          <w:rStyle w:val="C18"/>
          <w:rtl w:val="0"/>
        </w:rPr>
      </w:pPr>
      <w:r>
        <w:rPr>
          <w:rStyle w:val="C18"/>
          <w:rtl w:val="0"/>
        </w:rPr>
        <w:t>Využívání informací o kybernetických hrozbách – cyber threat intelligence</w:t>
      </w:r>
    </w:p>
    <w:p>
      <w:pPr>
        <w:pStyle w:val="P24"/>
        <w:framePr w:w="6713" w:h="376" w:hRule="exact" w:wrap="none" w:vAnchor="page" w:hAnchor="margin" w:x="45" w:y="12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71"/>
        <w:rPr>
          <w:rStyle w:val="C11"/>
          <w:rtl w:val="0"/>
        </w:rPr>
      </w:pPr>
      <w:r>
        <w:rPr>
          <w:rStyle w:val="C11"/>
          <w:rtl w:val="0"/>
        </w:rPr>
        <w:t>a) Popsat fáze kybernetického útoku – cyber kill chain</w:t>
      </w:r>
    </w:p>
    <w:p>
      <w:pPr>
        <w:pStyle w:val="P28"/>
        <w:framePr w:w="3921" w:h="376" w:hRule="exact" w:wrap="none" w:vAnchor="page" w:hAnchor="margin" w:x="6800" w:y="133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47"/>
        <w:rPr>
          <w:rStyle w:val="C13"/>
          <w:rtl w:val="0"/>
        </w:rPr>
      </w:pPr>
      <w:r>
        <w:rPr>
          <w:rStyle w:val="C13"/>
          <w:rtl w:val="0"/>
        </w:rPr>
        <w:t>b) Vysvětlit pojem indikátory kompromitace systému (IoCs)</w:t>
      </w:r>
    </w:p>
    <w:p>
      <w:pPr>
        <w:pStyle w:val="P30"/>
        <w:framePr w:w="3921" w:h="376" w:hRule="exact" w:wrap="none" w:vAnchor="page" w:hAnchor="margin" w:x="6800" w:y="136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c) Vysvětlit pojem TTP – taktiky, techniky a postupy</w:t>
      </w:r>
    </w:p>
    <w:p>
      <w:pPr>
        <w:pStyle w:val="P28"/>
        <w:framePr w:w="3921" w:h="376" w:hRule="exact" w:wrap="none" w:vAnchor="page" w:hAnchor="margin" w:x="6800" w:y="140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376" w:hRule="exact" w:wrap="none" w:vAnchor="page" w:hAnchor="margin" w:x="45" w:y="14443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376" w:hRule="exact" w:wrap="none" w:vAnchor="page" w:hAnchor="margin" w:x="45" w:y="144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Popsat MITRE ATT&amp;CK framework</w:t>
      </w:r>
    </w:p>
    <w:p>
      <w:pPr>
        <w:pStyle w:val="P30"/>
        <w:framePr w:w="3921" w:h="376" w:hRule="exact" w:wrap="none" w:vAnchor="page" w:hAnchor="margin" w:x="6800" w:y="144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4"/>
        <w:framePr w:w="6710" w:h="570" w:hRule="exact" w:wrap="none" w:vAnchor="page" w:hAnchor="margin" w:x="45" w:y="14820"/>
        <w:rPr>
          <w:rStyle w:val="C3"/>
          <w:rtl w:val="0"/>
        </w:rPr>
      </w:pPr>
    </w:p>
    <w:p>
      <w:pPr>
        <w:pStyle w:val="P34"/>
        <w:keepNext w:val="0"/>
        <w:keepLines w:val="0"/>
        <w:framePr w:w="6710" w:h="570" w:hRule="exact" w:wrap="none" w:vAnchor="page" w:hAnchor="margin" w:x="45" w:y="14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Namapovat TTP známé skupiny útočníků dle výběru uchazeče na MITRE</w:t>
      </w:r>
    </w:p>
    <w:p>
      <w:pPr>
        <w:pStyle w:val="P34"/>
        <w:keepNext w:val="0"/>
        <w:keepLines w:val="0"/>
        <w:framePr w:w="6710" w:h="570" w:hRule="exact" w:wrap="none" w:vAnchor="page" w:hAnchor="margin" w:x="45" w:y="14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ATT&amp;CK framework</w:t>
      </w:r>
    </w:p>
    <w:p>
      <w:pPr>
        <w:pStyle w:val="P28"/>
        <w:framePr w:w="3921" w:h="570" w:hRule="exact" w:wrap="none" w:vAnchor="page" w:hAnchor="margin" w:x="6800" w:y="14820"/>
        <w:rPr>
          <w:rStyle w:val="C3"/>
          <w:rtl w:val="0"/>
        </w:rPr>
      </w:pPr>
    </w:p>
    <w:p>
      <w:pPr>
        <w:pStyle w:val="P29"/>
        <w:framePr w:w="3839" w:h="443" w:hRule="exact" w:wrap="none" w:vAnchor="page" w:hAnchor="margin" w:x="6856" w:y="148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5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2.8.2026 16:30:53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40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40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40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40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40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40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40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40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40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40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40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40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40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0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0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0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0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0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0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0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0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9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9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495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9"/>
        <w:framePr w:w="793" w:h="230" w:hRule="exact" w:wrap="none" w:vAnchor="page" w:hAnchor="margin" w:x="6072" w:y="1123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1"/>
        <w:framePr w:w="375" w:h="245" w:hRule="exact" w:wrap="none" w:vAnchor="page" w:hAnchor="margin" w:x="28" w:y="11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14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148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639" w:h="230" w:hRule="exact" w:wrap="none" w:vAnchor="page" w:hAnchor="margin" w:x="1804" w:y="114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234" w:h="230" w:hRule="exact" w:wrap="none" w:vAnchor="page" w:hAnchor="margin" w:x="2486" w:y="1148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40"/>
        <w:framePr w:w="850" w:h="230" w:hRule="exact" w:wrap="none" w:vAnchor="page" w:hAnchor="margin" w:x="3763" w:y="1148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40"/>
        <w:framePr w:w="461" w:h="230" w:hRule="exact" w:wrap="none" w:vAnchor="page" w:hAnchor="margin" w:x="4656" w:y="1148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495" w:h="230" w:hRule="exact" w:wrap="none" w:vAnchor="page" w:hAnchor="margin" w:x="5160" w:y="1148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40"/>
        <w:framePr w:w="817" w:h="230" w:hRule="exact" w:wrap="none" w:vAnchor="page" w:hAnchor="margin" w:x="5697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6556" w:y="1148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116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90" w:h="230" w:hRule="exact" w:wrap="none" w:vAnchor="page" w:hAnchor="margin" w:x="7406" w:y="1148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40"/>
        <w:framePr w:w="173" w:h="230" w:hRule="exact" w:wrap="none" w:vAnchor="page" w:hAnchor="margin" w:x="8539" w:y="1148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40"/>
        <w:framePr w:w="116" w:h="230" w:hRule="exact" w:wrap="none" w:vAnchor="page" w:hAnchor="margin" w:x="8755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23" w:h="230" w:hRule="exact" w:wrap="none" w:vAnchor="page" w:hAnchor="margin" w:x="8913" w:y="11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40"/>
        <w:framePr w:w="86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40"/>
        <w:framePr w:w="226" w:h="230" w:hRule="exact" w:wrap="none" w:vAnchor="page" w:hAnchor="margin" w:x="1300" w:y="117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226" w:h="230" w:hRule="exact" w:wrap="none" w:vAnchor="page" w:hAnchor="margin" w:x="1569" w:y="117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826" w:h="230" w:hRule="exact" w:wrap="none" w:vAnchor="page" w:hAnchor="margin" w:x="1838" w:y="1171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40"/>
        <w:framePr w:w="769" w:h="230" w:hRule="exact" w:wrap="none" w:vAnchor="page" w:hAnchor="margin" w:x="2707" w:y="1171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40"/>
        <w:framePr w:w="1090" w:h="230" w:hRule="exact" w:wrap="none" w:vAnchor="page" w:hAnchor="margin" w:x="3518" w:y="1171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40"/>
        <w:framePr w:w="869" w:h="230" w:hRule="exact" w:wrap="none" w:vAnchor="page" w:hAnchor="margin" w:x="4651" w:y="117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514" w:h="230" w:hRule="exact" w:wrap="none" w:vAnchor="page" w:hAnchor="margin" w:x="5563" w:y="1171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40"/>
        <w:framePr w:w="317" w:h="230" w:hRule="exact" w:wrap="none" w:vAnchor="page" w:hAnchor="margin" w:x="6120" w:y="1171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40"/>
        <w:framePr w:w="759" w:h="230" w:hRule="exact" w:wrap="none" w:vAnchor="page" w:hAnchor="margin" w:x="6480" w:y="11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3" w:h="230" w:hRule="exact" w:wrap="none" w:vAnchor="page" w:hAnchor="margin" w:x="7281" w:y="1171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0"/>
        <w:framePr w:w="615" w:h="230" w:hRule="exact" w:wrap="none" w:vAnchor="page" w:hAnchor="margin" w:x="7396" w:y="1171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40"/>
        <w:framePr w:w="860" w:h="230" w:hRule="exact" w:wrap="none" w:vAnchor="page" w:hAnchor="margin" w:x="8054" w:y="11719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1"/>
        <w:framePr w:w="375" w:h="245" w:hRule="exact" w:wrap="none" w:vAnchor="page" w:hAnchor="margin" w:x="28" w:y="11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51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40"/>
        <w:framePr w:w="615" w:h="230" w:hRule="exact" w:wrap="none" w:vAnchor="page" w:hAnchor="margin" w:x="782" w:y="119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226" w:h="230" w:hRule="exact" w:wrap="none" w:vAnchor="page" w:hAnchor="margin" w:x="1440" w:y="11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15" w:h="230" w:hRule="exact" w:wrap="none" w:vAnchor="page" w:hAnchor="margin" w:x="1708" w:y="1196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0"/>
        <w:framePr w:w="836" w:h="230" w:hRule="exact" w:wrap="none" w:vAnchor="page" w:hAnchor="margin" w:x="2366" w:y="1196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40"/>
        <w:framePr w:w="116" w:h="230" w:hRule="exact" w:wrap="none" w:vAnchor="page" w:hAnchor="margin" w:x="3244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1004" w:h="230" w:hRule="exact" w:wrap="none" w:vAnchor="page" w:hAnchor="margin" w:x="3403" w:y="1196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40"/>
        <w:framePr w:w="1215" w:h="230" w:hRule="exact" w:wrap="none" w:vAnchor="page" w:hAnchor="margin" w:x="4449" w:y="1196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40"/>
        <w:framePr w:w="749" w:h="230" w:hRule="exact" w:wrap="none" w:vAnchor="page" w:hAnchor="margin" w:x="5707" w:y="1196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40"/>
        <w:framePr w:w="946" w:h="230" w:hRule="exact" w:wrap="none" w:vAnchor="page" w:hAnchor="margin" w:x="6499" w:y="1196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40"/>
        <w:framePr w:w="461" w:h="230" w:hRule="exact" w:wrap="none" w:vAnchor="page" w:hAnchor="margin" w:x="7488" w:y="11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7992" w:y="1196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40"/>
        <w:framePr w:w="994" w:h="230" w:hRule="exact" w:wrap="none" w:vAnchor="page" w:hAnchor="margin" w:x="8793" w:y="1196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40"/>
        <w:framePr w:w="327" w:h="230" w:hRule="exact" w:wrap="none" w:vAnchor="page" w:hAnchor="margin" w:x="9830" w:y="119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73" w:h="230" w:hRule="exact" w:wrap="none" w:vAnchor="page" w:hAnchor="margin" w:x="10200" w:y="119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36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40"/>
        <w:framePr w:w="1013" w:h="230" w:hRule="exact" w:wrap="none" w:vAnchor="page" w:hAnchor="margin" w:x="1267" w:y="1219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40"/>
        <w:framePr w:w="817" w:h="230" w:hRule="exact" w:wrap="none" w:vAnchor="page" w:hAnchor="margin" w:x="2323" w:y="1219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927" w:h="230" w:hRule="exact" w:wrap="none" w:vAnchor="page" w:hAnchor="margin" w:x="3182" w:y="121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40"/>
        <w:framePr w:w="73" w:h="230" w:hRule="exact" w:wrap="none" w:vAnchor="page" w:hAnchor="margin" w:x="28" w:y="124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267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267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26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267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26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267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267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26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267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93" w:h="230" w:hRule="exact" w:wrap="none" w:vAnchor="page" w:hAnchor="margin" w:x="5534" w:y="1267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9"/>
        <w:framePr w:w="1081" w:h="230" w:hRule="exact" w:wrap="none" w:vAnchor="page" w:hAnchor="margin" w:x="6470" w:y="1267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9"/>
        <w:framePr w:w="130" w:h="230" w:hRule="exact" w:wrap="none" w:vAnchor="page" w:hAnchor="margin" w:x="7593" w:y="12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495" w:h="230" w:hRule="exact" w:wrap="none" w:vAnchor="page" w:hAnchor="margin" w:x="7766" w:y="1267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9"/>
        <w:framePr w:w="793" w:h="230" w:hRule="exact" w:wrap="none" w:vAnchor="page" w:hAnchor="margin" w:x="8304" w:y="12670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1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337" w:h="230" w:hRule="exact" w:wrap="none" w:vAnchor="page" w:hAnchor="margin" w:x="1804" w:y="1291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40"/>
        <w:framePr w:w="226" w:h="230" w:hRule="exact" w:wrap="none" w:vAnchor="page" w:hAnchor="margin" w:x="2184" w:y="129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759" w:h="230" w:hRule="exact" w:wrap="none" w:vAnchor="page" w:hAnchor="margin" w:x="2452" w:y="129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673" w:h="230" w:hRule="exact" w:wrap="none" w:vAnchor="page" w:hAnchor="margin" w:x="3254" w:y="1291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40"/>
        <w:framePr w:w="802" w:h="230" w:hRule="exact" w:wrap="none" w:vAnchor="page" w:hAnchor="margin" w:x="3969" w:y="1291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40"/>
        <w:framePr w:w="850" w:h="230" w:hRule="exact" w:wrap="none" w:vAnchor="page" w:hAnchor="margin" w:x="4814" w:y="129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1215" w:h="230" w:hRule="exact" w:wrap="none" w:vAnchor="page" w:hAnchor="margin" w:x="5707" w:y="1291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40"/>
        <w:framePr w:w="649" w:h="230" w:hRule="exact" w:wrap="none" w:vAnchor="page" w:hAnchor="margin" w:x="6964" w:y="1291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130" w:h="230" w:hRule="exact" w:wrap="none" w:vAnchor="page" w:hAnchor="margin" w:x="7656" w:y="12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7828" w:y="1291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40"/>
        <w:framePr w:w="639" w:h="230" w:hRule="exact" w:wrap="none" w:vAnchor="page" w:hAnchor="margin" w:x="8275" w:y="1291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40"/>
        <w:framePr w:w="428" w:h="230" w:hRule="exact" w:wrap="none" w:vAnchor="page" w:hAnchor="margin" w:x="8956" w:y="1291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40"/>
        <w:framePr w:w="514" w:h="230" w:hRule="exact" w:wrap="none" w:vAnchor="page" w:hAnchor="margin" w:x="9427" w:y="1291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40"/>
        <w:framePr w:w="135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40"/>
        <w:framePr w:w="241" w:h="230" w:hRule="exact" w:wrap="none" w:vAnchor="page" w:hAnchor="margin" w:x="179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48" w:h="230" w:hRule="exact" w:wrap="none" w:vAnchor="page" w:hAnchor="margin" w:x="2073" w:y="1315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0"/>
        <w:framePr w:w="817" w:h="230" w:hRule="exact" w:wrap="none" w:vAnchor="page" w:hAnchor="margin" w:x="2664" w:y="131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3523" w:y="131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437" w:h="230" w:hRule="exact" w:wrap="none" w:vAnchor="page" w:hAnchor="margin" w:x="4214" w:y="13150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40"/>
        <w:framePr w:w="649" w:h="230" w:hRule="exact" w:wrap="none" w:vAnchor="page" w:hAnchor="margin" w:x="4694" w:y="13150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615" w:h="230" w:hRule="exact" w:wrap="none" w:vAnchor="page" w:hAnchor="margin" w:x="5385" w:y="13150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40"/>
        <w:framePr w:w="615" w:h="230" w:hRule="exact" w:wrap="none" w:vAnchor="page" w:hAnchor="margin" w:x="6043" w:y="13150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40"/>
        <w:framePr w:w="241" w:h="230" w:hRule="exact" w:wrap="none" w:vAnchor="page" w:hAnchor="margin" w:x="670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49" w:h="230" w:hRule="exact" w:wrap="none" w:vAnchor="page" w:hAnchor="margin" w:x="6984" w:y="1315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73" w:h="230" w:hRule="exact" w:wrap="none" w:vAnchor="page" w:hAnchor="margin" w:x="28" w:y="133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36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362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36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362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3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362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3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36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362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93" w:h="230" w:hRule="exact" w:wrap="none" w:vAnchor="page" w:hAnchor="margin" w:x="5534" w:y="1362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9"/>
        <w:framePr w:w="1081" w:h="230" w:hRule="exact" w:wrap="none" w:vAnchor="page" w:hAnchor="margin" w:x="6470" w:y="1362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40"/>
        <w:framePr w:w="73" w:h="230" w:hRule="exact" w:wrap="none" w:vAnchor="page" w:hAnchor="margin" w:x="7536" w:y="1362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1"/>
        <w:framePr w:w="375" w:h="245" w:hRule="exact" w:wrap="none" w:vAnchor="page" w:hAnchor="margin" w:x="28" w:y="138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927" w:h="230" w:hRule="exact" w:wrap="none" w:vAnchor="page" w:hAnchor="margin" w:x="388" w:y="138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447" w:h="230" w:hRule="exact" w:wrap="none" w:vAnchor="page" w:hAnchor="margin" w:x="1358" w:y="1387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40"/>
        <w:framePr w:w="802" w:h="230" w:hRule="exact" w:wrap="none" w:vAnchor="page" w:hAnchor="margin" w:x="1848" w:y="1387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0"/>
        <w:framePr w:w="836" w:h="230" w:hRule="exact" w:wrap="none" w:vAnchor="page" w:hAnchor="margin" w:x="2692" w:y="1387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437" w:h="230" w:hRule="exact" w:wrap="none" w:vAnchor="page" w:hAnchor="margin" w:x="3571" w:y="13870"/>
        <w:rPr>
          <w:rStyle w:val="C27"/>
          <w:rtl w:val="0"/>
        </w:rPr>
      </w:pPr>
      <w:r>
        <w:rPr>
          <w:rStyle w:val="C27"/>
          <w:rtl w:val="0"/>
        </w:rPr>
        <w:t>úkol.</w:t>
      </w:r>
    </w:p>
    <w:p>
      <w:pPr>
        <w:pStyle w:val="P40"/>
        <w:framePr w:w="73" w:h="230" w:hRule="exact" w:wrap="none" w:vAnchor="page" w:hAnchor="margin" w:x="28" w:y="14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004" w:h="230" w:hRule="exact" w:wrap="none" w:vAnchor="page" w:hAnchor="margin" w:x="28" w:y="14340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9"/>
        <w:framePr w:w="716" w:h="230" w:hRule="exact" w:wrap="none" w:vAnchor="page" w:hAnchor="margin" w:x="1075" w:y="1434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1124" w:h="230" w:hRule="exact" w:wrap="none" w:vAnchor="page" w:hAnchor="margin" w:x="1833" w:y="14340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9"/>
        <w:framePr w:w="989" w:h="230" w:hRule="exact" w:wrap="none" w:vAnchor="page" w:hAnchor="margin" w:x="3000" w:y="14340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9"/>
        <w:framePr w:w="1412" w:h="230" w:hRule="exact" w:wrap="none" w:vAnchor="page" w:hAnchor="margin" w:x="4032" w:y="14340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9"/>
        <w:framePr w:w="130" w:h="230" w:hRule="exact" w:wrap="none" w:vAnchor="page" w:hAnchor="margin" w:x="5486" w:y="1434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869" w:h="230" w:hRule="exact" w:wrap="none" w:vAnchor="page" w:hAnchor="margin" w:x="5659" w:y="14340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40"/>
        <w:framePr w:w="73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49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682" w:h="230" w:hRule="exact" w:wrap="none" w:vAnchor="page" w:hAnchor="margin" w:x="220" w:y="148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49" w:h="230" w:hRule="exact" w:wrap="none" w:vAnchor="page" w:hAnchor="margin" w:x="945" w:y="148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1737" w:y="148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461" w:h="230" w:hRule="exact" w:wrap="none" w:vAnchor="page" w:hAnchor="margin" w:x="2836" w:y="14811"/>
        <w:rPr>
          <w:rStyle w:val="C26"/>
          <w:rtl w:val="0"/>
        </w:rPr>
      </w:pPr>
      <w:r>
        <w:rPr>
          <w:rStyle w:val="C26"/>
          <w:rtl w:val="0"/>
        </w:rPr>
        <w:t>Sběr</w:t>
      </w:r>
    </w:p>
    <w:p>
      <w:pPr>
        <w:pStyle w:val="P39"/>
        <w:framePr w:w="317" w:h="230" w:hRule="exact" w:wrap="none" w:vAnchor="page" w:hAnchor="margin" w:x="3340" w:y="14811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9"/>
        <w:framePr w:w="130" w:h="230" w:hRule="exact" w:wrap="none" w:vAnchor="page" w:hAnchor="margin" w:x="3700" w:y="148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35" w:h="230" w:hRule="exact" w:wrap="none" w:vAnchor="page" w:hAnchor="margin" w:x="3873" w:y="14811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9"/>
        <w:framePr w:w="548" w:h="230" w:hRule="exact" w:wrap="none" w:vAnchor="page" w:hAnchor="margin" w:x="4651" w:y="14811"/>
        <w:rPr>
          <w:rStyle w:val="C26"/>
          <w:rtl w:val="0"/>
        </w:rPr>
      </w:pPr>
      <w:r>
        <w:rPr>
          <w:rStyle w:val="C26"/>
          <w:rtl w:val="0"/>
        </w:rPr>
        <w:t>údajů</w:t>
      </w:r>
    </w:p>
    <w:p>
      <w:pPr>
        <w:pStyle w:val="P39"/>
        <w:framePr w:w="130" w:h="230" w:hRule="exact" w:wrap="none" w:vAnchor="page" w:hAnchor="margin" w:x="5241" w:y="1481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9"/>
        <w:framePr w:w="658" w:h="230" w:hRule="exact" w:wrap="none" w:vAnchor="page" w:hAnchor="margin" w:x="5414" w:y="14811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9"/>
        <w:framePr w:w="1234" w:h="230" w:hRule="exact" w:wrap="none" w:vAnchor="page" w:hAnchor="margin" w:x="6115" w:y="1481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9"/>
        <w:framePr w:w="1167" w:h="230" w:hRule="exact" w:wrap="none" w:vAnchor="page" w:hAnchor="margin" w:x="7392" w:y="14811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42"/>
        <w:framePr w:w="73" w:h="230" w:hRule="exact" w:wrap="none" w:vAnchor="page" w:hAnchor="margin" w:x="8544" w:y="14811"/>
        <w:rPr>
          <w:rStyle w:val="C29"/>
          <w:rtl w:val="0"/>
        </w:rPr>
      </w:pPr>
      <w:r>
        <w:rPr>
          <w:rStyle w:val="C29"/>
          <w:rtl w:val="0"/>
        </w:rPr>
        <w:t>,</w:t>
      </w:r>
    </w:p>
    <w:p>
      <w:pPr>
        <w:pStyle w:val="P40"/>
        <w:framePr w:w="783" w:h="230" w:hRule="exact" w:wrap="none" w:vAnchor="page" w:hAnchor="margin" w:x="8659" w:y="148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93" w:h="230" w:hRule="exact" w:wrap="none" w:vAnchor="page" w:hAnchor="margin" w:x="9484" w:y="1481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115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28" w:y="150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605" w:h="230" w:hRule="exact" w:wrap="none" w:vAnchor="page" w:hAnchor="margin" w:x="1833" w:y="15041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40"/>
        <w:framePr w:w="130" w:h="230" w:hRule="exact" w:wrap="none" w:vAnchor="page" w:hAnchor="margin" w:x="2481" w:y="1504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0"/>
        <w:framePr w:w="903" w:h="230" w:hRule="exact" w:wrap="none" w:vAnchor="page" w:hAnchor="margin" w:x="2654" w:y="1504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605" w:h="230" w:hRule="exact" w:wrap="none" w:vAnchor="page" w:hAnchor="margin" w:x="3600" w:y="15041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40"/>
        <w:framePr w:w="116" w:h="230" w:hRule="exact" w:wrap="none" w:vAnchor="page" w:hAnchor="margin" w:x="4248" w:y="150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481" w:h="230" w:hRule="exact" w:wrap="none" w:vAnchor="page" w:hAnchor="margin" w:x="4406" w:y="1504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40"/>
        <w:framePr w:w="159" w:h="230" w:hRule="exact" w:wrap="none" w:vAnchor="page" w:hAnchor="margin" w:x="4929" w:y="1504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40"/>
        <w:framePr w:w="759" w:h="230" w:hRule="exact" w:wrap="none" w:vAnchor="page" w:hAnchor="margin" w:x="5131" w:y="15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5932" w:y="150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49" w:h="230" w:hRule="exact" w:wrap="none" w:vAnchor="page" w:hAnchor="margin" w:x="6216" w:y="1504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35" w:h="230" w:hRule="exact" w:wrap="none" w:vAnchor="page" w:hAnchor="margin" w:x="7008" w:y="1504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40"/>
        <w:framePr w:w="562" w:h="230" w:hRule="exact" w:wrap="none" w:vAnchor="page" w:hAnchor="margin" w:x="7785" w:y="15041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826" w:h="230" w:hRule="exact" w:wrap="none" w:vAnchor="page" w:hAnchor="margin" w:x="8390" w:y="15041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40"/>
        <w:framePr w:w="572" w:h="230" w:hRule="exact" w:wrap="none" w:vAnchor="page" w:hAnchor="margin" w:x="9259" w:y="1504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40"/>
        <w:framePr w:w="90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548" w:h="230" w:hRule="exact" w:wrap="none" w:vAnchor="page" w:hAnchor="margin" w:x="974" w:y="15271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40"/>
        <w:framePr w:w="769" w:h="230" w:hRule="exact" w:wrap="none" w:vAnchor="page" w:hAnchor="margin" w:x="1564" w:y="1527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40"/>
        <w:framePr w:w="759" w:h="230" w:hRule="exact" w:wrap="none" w:vAnchor="page" w:hAnchor="margin" w:x="2376" w:y="15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83" w:h="230" w:hRule="exact" w:wrap="none" w:vAnchor="page" w:hAnchor="margin" w:x="3177" w:y="1527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40"/>
        <w:framePr w:w="241" w:h="230" w:hRule="exact" w:wrap="none" w:vAnchor="page" w:hAnchor="margin" w:x="4003" w:y="15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05" w:h="230" w:hRule="exact" w:wrap="none" w:vAnchor="page" w:hAnchor="margin" w:x="4286" w:y="15271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40"/>
        <w:framePr w:w="130" w:h="230" w:hRule="exact" w:wrap="none" w:vAnchor="page" w:hAnchor="margin" w:x="4833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26" w:h="230" w:hRule="exact" w:wrap="none" w:vAnchor="page" w:hAnchor="margin" w:x="5006" w:y="1527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40"/>
        <w:framePr w:w="783" w:h="230" w:hRule="exact" w:wrap="none" w:vAnchor="page" w:hAnchor="margin" w:x="5875" w:y="15271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40"/>
        <w:framePr w:w="116" w:h="230" w:hRule="exact" w:wrap="none" w:vAnchor="page" w:hAnchor="margin" w:x="6700" w:y="152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25" w:h="230" w:hRule="exact" w:wrap="none" w:vAnchor="page" w:hAnchor="margin" w:x="6859" w:y="15271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40"/>
        <w:framePr w:w="735" w:h="230" w:hRule="exact" w:wrap="none" w:vAnchor="page" w:hAnchor="margin" w:x="7627" w:y="1527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40"/>
        <w:framePr w:w="73" w:h="230" w:hRule="exact" w:wrap="none" w:vAnchor="page" w:hAnchor="margin" w:x="28" w:y="155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2.8.2026 16:30:53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0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0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5"/>
        <w:framePr w:w="10766" w:h="3551" w:hRule="exact" w:wrap="none" w:vAnchor="page" w:hAnchor="margin" w:x="0" w:y="387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847" w:hRule="exact" w:wrap="none" w:vAnchor="page" w:hAnchor="margin" w:x="0" w:y="765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4147" w:hRule="exact" w:wrap="none" w:vAnchor="page" w:hAnchor="margin" w:x="0" w:y="9730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97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 v oblasti informačních a komunikačních technologií a nejméně 5 let prokázané odborné praxe v činnostech analytika kybernetické bezpečnosti.</w:t>
      </w:r>
    </w:p>
    <w:p>
      <w:pPr>
        <w:keepNext w:val="0"/>
        <w:keepLines w:val="1"/>
        <w:framePr w:w="10766" w:h="3599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Analytik/analytička kybernetické bezpečnosti (18-016-T), vysokoškolské vzdělání magisterského stupně a nejméně 5 let prokázané odborné praxe v činnostech analytika kybernetické bezpečnosti.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2.8.2026 16:30:53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57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Učebna odpovídající bezpečnostním a hygienickým předpisům, stoly, židle, 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 případových studií,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mobilní telefon (dostatečně výkonný, aby zajistil plynulý provoz vyžadovaných aplikací) pro ověřování kritéria b)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Sběr dat a analýza údajů v oblasti kybernetické bezpečnost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5"/>
        <w:framePr w:w="10766" w:h="1376" w:hRule="exact" w:wrap="none" w:vAnchor="page" w:hAnchor="margin" w:x="0" w:y="5951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9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75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2.8.2026 16:30:53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2.8.2026 16:30:53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6784F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9F507B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DB119B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9FF87E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106553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