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CD4A8" Type="http://schemas.openxmlformats.org/officeDocument/2006/relationships/officeDocument" Target="/word/document.xml" /><Relationship Id="coreR490CD4A8" Type="http://schemas.openxmlformats.org/package/2006/relationships/metadata/core-properties" Target="/docProps/core.xml" /><Relationship Id="customR490CD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264/2025 Sb., o kybernetické bezpečnosti,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2401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274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 xml:space="preserve">b) Popsat a vysvětlit prováděcí předpisy vztahující se k zákonu č. 264/2025 Sb., o kybernetické bezpečnosti, ve znění pozdějších předpisů, (vyhláška č. 409/2025 Sb., o bezpečnostních opatřeních poskytovatele regulované služby v režimu vyšších povinností, ve znění pozdějších předpisů, vyhláška č.  410/2025 Sb., o bezpečnostních opatřeních poskytovatele regulované služby v režimu nižších povinností, ve znění pozdějších předpisů, vyhláška č. 408/2025 Sb., o regulovaných službách, ve znění pozdějších předpisů a vyhláška č. 334/2025 Sb., o Portálu Národního úřadu pro kybernetickou a informační bezpečnost a požadavcích na některé úkony, ve znění pozdějších předpisů)</w:t>
      </w:r>
    </w:p>
    <w:p>
      <w:pPr>
        <w:pStyle w:val="P30"/>
        <w:framePr w:w="3921" w:h="2401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274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c) Popsat význam a vysvětlit provázanost zákona č. 264/2025 Sb., o kybernetické bezpečnosti, ve znění pozdějších předpisů, a zákona č. 266/2025 Sb., o odolnosti subjektů kritické infrastruktury a o změně souvisejících zákonů, ve znění pozdějších předpisů</w:t>
      </w:r>
    </w:p>
    <w:p>
      <w:pPr>
        <w:pStyle w:val="P28"/>
        <w:framePr w:w="3921" w:h="1055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3"/>
        <w:rPr>
          <w:rStyle w:val="C13"/>
          <w:rtl w:val="0"/>
        </w:rPr>
      </w:pPr>
      <w:r>
        <w:rPr>
          <w:rStyle w:val="C13"/>
          <w:rtl w:val="0"/>
        </w:rPr>
        <w:t>d) Popsat alespoň dvě normy z řady ISO 27000, které souvisejí se systémem řízení bezpečnosti informací</w:t>
      </w:r>
    </w:p>
    <w:p>
      <w:pPr>
        <w:pStyle w:val="P30"/>
        <w:framePr w:w="3921" w:h="607" w:hRule="exact" w:wrap="none" w:vAnchor="page" w:hAnchor="margin" w:x="6800" w:y="7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0"/>
        <w:rPr>
          <w:rStyle w:val="C11"/>
          <w:rtl w:val="0"/>
        </w:rPr>
      </w:pPr>
      <w:r>
        <w:rPr>
          <w:rStyle w:val="C11"/>
          <w:rtl w:val="0"/>
        </w:rPr>
        <w:t>e) Popsat význam a vysvětlit členění zákona č. 365/2000 Sb., o informačních systémech veřejné správy a o změně některých dalších zákonů, ve znění pozdějších předpisů</w:t>
      </w:r>
    </w:p>
    <w:p>
      <w:pPr>
        <w:pStyle w:val="P28"/>
        <w:framePr w:w="3921" w:h="831" w:hRule="exact" w:wrap="none" w:vAnchor="page" w:hAnchor="margin" w:x="6800" w:y="84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1"/>
        <w:rPr>
          <w:rStyle w:val="C13"/>
          <w:rtl w:val="0"/>
        </w:rPr>
      </w:pPr>
      <w:r>
        <w:rPr>
          <w:rStyle w:val="C13"/>
          <w:rtl w:val="0"/>
        </w:rPr>
        <w:t>f) Popsat principy stanovené vyhláškou č. 411/2025 Sb., o bezpečnostních úrovních informačních systémů veřejné správy, ve znění pozdějších předpisů</w:t>
      </w:r>
    </w:p>
    <w:p>
      <w:pPr>
        <w:pStyle w:val="P30"/>
        <w:framePr w:w="3921" w:h="607" w:hRule="exact" w:wrap="none" w:vAnchor="page" w:hAnchor="margin" w:x="6800" w:y="92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8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98"/>
        <w:rPr>
          <w:rStyle w:val="C11"/>
          <w:rtl w:val="0"/>
        </w:rPr>
      </w:pPr>
      <w:r>
        <w:rPr>
          <w:rStyle w:val="C11"/>
          <w:rtl w:val="0"/>
        </w:rPr>
        <w:t>g) Popsat a vysvětlit vyhlášku č. 412/2025 Sb., o bezpečnostních pravidlech pro orgány veřejné správy využívající služby poskytovatelů cloud computingu, ve znění pozdějších předpisů</w:t>
      </w:r>
    </w:p>
    <w:p>
      <w:pPr>
        <w:pStyle w:val="P28"/>
        <w:framePr w:w="3921" w:h="831" w:hRule="exact" w:wrap="none" w:vAnchor="page" w:hAnchor="margin" w:x="6800" w:y="98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Uplatňování principů řízení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plánování, řízení, měření a zlepšování procesů kybernetické bezpečnosti podle PDCA metodiky (plan-do-check-act/naplánuj-proveď-ověř-jednej)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Graficky znázornit a popsat organizační začlenění kybernetické bezpečnosti v organizaci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význam bezpečnostní politiky v oblasti systému řízení bezpečnosti informací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Prezentovat obsah, formu a postup při návrhu systému řízení bezpečnosti informací včetně návrhů zlepšování podle konkrétního zadání (aplikovat systémový přístup řízení organizace, popsat úlohu vrcholového řízení, reportování systému kybernetické bezpečnosti)</w:t>
      </w:r>
    </w:p>
    <w:p>
      <w:pPr>
        <w:pStyle w:val="P30"/>
        <w:framePr w:w="3921" w:h="1055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vysvětlit principy těchto druhů auditů: interní audit, zákaznický audit, audity prováděné třetí stranou, audit procesu, audit služby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Nastavit alespoň 5 opatření z prohlášení o aplikovatelnosti a zdůvodnit jejich aplikaci v kontextu organizace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odvození nepřiměřených nákladů podle metodiky NÚKIB (Národní úřad pro kybernetickou a informační bezpečnost)</w:t>
      </w:r>
    </w:p>
    <w:p>
      <w:pPr>
        <w:pStyle w:val="P28"/>
        <w:framePr w:w="3921" w:h="607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Supervize dokumentace řízení kybernetické bezpečnosti v organizaci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Přezkoumat, analyzovat a vyhodnotit úplnost a kvalitu kompletního vzoru bezpečnostní dokumentace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31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66"/>
        <w:rPr>
          <w:rStyle w:val="C13"/>
          <w:rtl w:val="0"/>
        </w:rPr>
      </w:pPr>
      <w:r>
        <w:rPr>
          <w:rStyle w:val="C13"/>
          <w:rtl w:val="0"/>
        </w:rPr>
        <w:t>b) Vysvětlit principy tvorby, udržování a rozvíjení dokumentace systému řízení kybernetické bezpečnosti v organizaci podle konkrétního zadání, v souladu se zákonem č. 264/2025 Sb., o kybernetické bezpečnosti, ve znění pozdějších předpisů</w:t>
      </w:r>
    </w:p>
    <w:p>
      <w:pPr>
        <w:pStyle w:val="P30"/>
        <w:framePr w:w="3921" w:h="1055" w:hRule="exact" w:wrap="none" w:vAnchor="page" w:hAnchor="margin" w:x="6800" w:y="1031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3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1"/>
        <w:rPr>
          <w:rStyle w:val="C11"/>
          <w:rtl w:val="0"/>
        </w:rPr>
      </w:pPr>
      <w:r>
        <w:rPr>
          <w:rStyle w:val="C11"/>
          <w:rtl w:val="0"/>
        </w:rPr>
        <w:t>c) Popsat principy a techniky používané pro přezkoumání dokumentace</w:t>
      </w:r>
    </w:p>
    <w:p>
      <w:pPr>
        <w:pStyle w:val="P28"/>
        <w:framePr w:w="3921" w:h="376" w:hRule="exact" w:wrap="none" w:vAnchor="page" w:hAnchor="margin" w:x="6800" w:y="113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91"/>
        <w:rPr>
          <w:rStyle w:val="C18"/>
          <w:rtl w:val="0"/>
        </w:rPr>
      </w:pPr>
      <w:r>
        <w:rPr>
          <w:rStyle w:val="C18"/>
          <w:rtl w:val="0"/>
        </w:rPr>
        <w:t>Řízení aktiv v kybernetické bezpečnosti</w:t>
      </w:r>
    </w:p>
    <w:p>
      <w:pPr>
        <w:pStyle w:val="P24"/>
        <w:framePr w:w="6713" w:h="376" w:hRule="exact" w:wrap="none" w:vAnchor="page" w:hAnchor="margin" w:x="45" w:y="127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2"/>
        <w:rPr>
          <w:rStyle w:val="C11"/>
          <w:rtl w:val="0"/>
        </w:rPr>
      </w:pPr>
      <w:r>
        <w:rPr>
          <w:rStyle w:val="C11"/>
          <w:rtl w:val="0"/>
        </w:rPr>
        <w:t>a) Graficky znázornit a popsat členění aktiv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3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3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93"/>
        <w:rPr>
          <w:rStyle w:val="C13"/>
          <w:rtl w:val="0"/>
        </w:rPr>
      </w:pPr>
      <w:r>
        <w:rPr>
          <w:rStyle w:val="C13"/>
          <w:rtl w:val="0"/>
        </w:rPr>
        <w:t>b) Vyjmenovat a popsat oblasti, které mají být uvažovány při hodnocení aktiv</w:t>
      </w:r>
    </w:p>
    <w:p>
      <w:pPr>
        <w:pStyle w:val="P30"/>
        <w:framePr w:w="3921" w:h="376" w:hRule="exact" w:wrap="none" w:vAnchor="page" w:hAnchor="margin" w:x="6800" w:y="13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3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370"/>
        <w:rPr>
          <w:rStyle w:val="C11"/>
          <w:rtl w:val="0"/>
        </w:rPr>
      </w:pPr>
      <w:r>
        <w:rPr>
          <w:rStyle w:val="C11"/>
          <w:rtl w:val="0"/>
        </w:rPr>
        <w:t>c) Určit hodnotu aktiv organizace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143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3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manažera/manažerky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metodiku hodnocení rizik podle vyhlášky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PDCA cyklus pro řízení rizik podle ISO/IEC 27005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Stanovit hodnotu u aktiv organizace, určit pro ně hrozby a zranitelnosti a vypočítat hodnotu rizika, a to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1"/>
        <w:rPr>
          <w:rStyle w:val="C18"/>
          <w:rtl w:val="0"/>
        </w:rPr>
      </w:pPr>
      <w:r>
        <w:rPr>
          <w:rStyle w:val="C18"/>
          <w:rtl w:val="0"/>
        </w:rPr>
        <w:t>Plnění požadavků na vrcholné vedení v oblasti kybernetické bezpečnosti</w:t>
      </w:r>
    </w:p>
    <w:p>
      <w:pPr>
        <w:pStyle w:val="P24"/>
        <w:framePr w:w="6713" w:h="376" w:hRule="exact" w:wrap="none" w:vAnchor="page" w:hAnchor="margin" w:x="45" w:y="6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3"/>
        <w:rPr>
          <w:rStyle w:val="C11"/>
          <w:rtl w:val="0"/>
        </w:rPr>
      </w:pPr>
      <w:r>
        <w:rPr>
          <w:rStyle w:val="C11"/>
          <w:rtl w:val="0"/>
        </w:rPr>
        <w:t>a) Prokázat znalost základních náležitostí a principů fungování systému řízení bezpečnosti informací</w:t>
      </w:r>
    </w:p>
    <w:p>
      <w:pPr>
        <w:pStyle w:val="P28"/>
        <w:framePr w:w="3921" w:h="607" w:hRule="exact" w:wrap="none" w:vAnchor="page" w:hAnchor="margin" w:x="6800" w:y="6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72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60"/>
        <w:rPr>
          <w:rStyle w:val="C13"/>
          <w:rtl w:val="0"/>
        </w:rPr>
      </w:pPr>
      <w:r>
        <w:rPr>
          <w:rStyle w:val="C13"/>
          <w:rtl w:val="0"/>
        </w:rPr>
        <w:t>b) Popsat bezpečnostní role podle vyhlášky č. 409/2025 Sb., o bezpečnostních opatřeních poskytovatele regulované služby v režimu vyšších povinností, ve znění pozdějších předpisů, a popsat jejich základní úkoly, pravomoci a odpovědnosti</w:t>
      </w:r>
    </w:p>
    <w:p>
      <w:pPr>
        <w:pStyle w:val="P30"/>
        <w:framePr w:w="3921" w:h="1055" w:hRule="exact" w:wrap="none" w:vAnchor="page" w:hAnchor="margin" w:x="6800" w:y="72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60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c) Popsat a vysvětlit správné zařazení bezpečnostních rolí v organizační struktuře (organizačním řádu)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15"/>
        <w:rPr>
          <w:rStyle w:val="C18"/>
          <w:rtl w:val="0"/>
        </w:rPr>
      </w:pPr>
      <w:r>
        <w:rPr>
          <w:rStyle w:val="C18"/>
          <w:rtl w:val="0"/>
        </w:rPr>
        <w:t>Řízení rozvoje bezpečnostního povědomí organizace v oblasti kybernetické bezpečnosti</w:t>
      </w:r>
    </w:p>
    <w:p>
      <w:pPr>
        <w:pStyle w:val="P24"/>
        <w:framePr w:w="6713" w:h="376" w:hRule="exact" w:wrap="none" w:vAnchor="page" w:hAnchor="margin" w:x="45" w:y="98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023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286"/>
        <w:rPr>
          <w:rStyle w:val="C11"/>
          <w:rtl w:val="0"/>
        </w:rPr>
      </w:pPr>
      <w:r>
        <w:rPr>
          <w:rStyle w:val="C11"/>
          <w:rtl w:val="0"/>
        </w:rPr>
        <w:t>a) Vyjmenovat a popsat základní cíle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023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28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12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342"/>
        <w:rPr>
          <w:rStyle w:val="C13"/>
          <w:rtl w:val="0"/>
        </w:rPr>
      </w:pPr>
      <w:r>
        <w:rPr>
          <w:rStyle w:val="C13"/>
          <w:rtl w:val="0"/>
        </w:rPr>
        <w:t>b) Vyjmenovat a popsat různé způsoby a formy zvyšování bezpečnostního povědomí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12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134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1280" w:hRule="exact" w:wrap="none" w:vAnchor="page" w:hAnchor="margin" w:x="45" w:y="1234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397"/>
        <w:rPr>
          <w:rStyle w:val="C11"/>
          <w:rtl w:val="0"/>
        </w:rPr>
      </w:pPr>
      <w:r>
        <w:rPr>
          <w:rStyle w:val="C11"/>
          <w:rtl w:val="0"/>
        </w:rPr>
        <w:t>c) Popsat formální náležitosti vyplývající z vyhlášky č. 409/2025 Sb., o bezpečnostních opatřeních poskytovatele regulované služby v režimu vyšších povinností, ve znění pozdějších předpisů, v oblasti zajištění bezpečnosti lidských zdrojů (především plán rozvoje bezpečnostního povědomí)</w:t>
      </w:r>
    </w:p>
    <w:p>
      <w:pPr>
        <w:pStyle w:val="P28"/>
        <w:framePr w:w="3921" w:h="1280" w:hRule="exact" w:wrap="none" w:vAnchor="page" w:hAnchor="margin" w:x="6800" w:y="1234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7"/>
        <w:rPr>
          <w:rStyle w:val="C13"/>
          <w:rtl w:val="0"/>
        </w:rPr>
      </w:pPr>
      <w:r>
        <w:rPr>
          <w:rStyle w:val="C13"/>
          <w:rtl w:val="0"/>
        </w:rPr>
        <w:t>d) Sestavit plán rozvoje bezpečnostního povědomí organizace</w:t>
      </w:r>
    </w:p>
    <w:p>
      <w:pPr>
        <w:pStyle w:val="P30"/>
        <w:framePr w:w="3921" w:h="376" w:hRule="exact" w:wrap="none" w:vAnchor="page" w:hAnchor="margin" w:x="6800" w:y="13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dodavatelů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povinnosti povinné osoby (v souvislosti se zákonem č. 264/2025 Sb., o kybernetické bezpečnosti, ve znění pozdějších předpisů), pro řízení dodavatelů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728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69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754"/>
        <w:rPr>
          <w:rStyle w:val="C13"/>
          <w:rtl w:val="0"/>
        </w:rPr>
      </w:pPr>
      <w:r>
        <w:rPr>
          <w:rStyle w:val="C13"/>
          <w:rtl w:val="0"/>
        </w:rPr>
        <w:t>b) Vyjmenovat povinnosti povinné osoby (v souvislosti se zákonem č. 264/2025 Sb., o kybernetické bezpečnosti, ve znění pozdějších předpisů), pro významné dodavatele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69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7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9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33"/>
        <w:rPr>
          <w:rStyle w:val="C11"/>
          <w:rtl w:val="0"/>
        </w:rPr>
      </w:pPr>
      <w:r>
        <w:rPr>
          <w:rStyle w:val="C11"/>
          <w:rtl w:val="0"/>
        </w:rPr>
        <w:t>c) Podle konkrétního zadání uvést náležitosti zakotvené ve smluvních vztazích s významnými dodavateli a demonstrovat je,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59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82"/>
        <w:rPr>
          <w:rStyle w:val="C18"/>
          <w:rtl w:val="0"/>
        </w:rPr>
      </w:pPr>
      <w:r>
        <w:rPr>
          <w:rStyle w:val="C18"/>
          <w:rtl w:val="0"/>
        </w:rPr>
        <w:t>Řízení provozu a komunikací v oblasti kybernetické bezpečnosti</w:t>
      </w:r>
    </w:p>
    <w:p>
      <w:pPr>
        <w:pStyle w:val="P24"/>
        <w:framePr w:w="6713" w:h="376" w:hRule="exact" w:wrap="none" w:vAnchor="page" w:hAnchor="margin" w:x="45" w:y="80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39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3"/>
        <w:rPr>
          <w:rStyle w:val="C11"/>
          <w:rtl w:val="0"/>
        </w:rPr>
      </w:pPr>
      <w:r>
        <w:rPr>
          <w:rStyle w:val="C11"/>
          <w:rtl w:val="0"/>
        </w:rPr>
        <w:t>a) Uvést alespoň pět pravidel a postupů v rámci řízení provozu a komunikací v organizaci podle vyhlášky č. 409/2025 Sb., o bezpečnostních opatřeních poskytovatele regulované služby v režimu vyšších povinností, ve znění pozdějších předpisů, a aplikovat jejich pravidla</w:t>
      </w:r>
    </w:p>
    <w:p>
      <w:pPr>
        <w:pStyle w:val="P28"/>
        <w:framePr w:w="3921" w:h="1055" w:hRule="exact" w:wrap="none" w:vAnchor="page" w:hAnchor="margin" w:x="6800" w:y="839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b) Popsat, na čem je založen soubor praxí ITIL (Information Technology Infrastructure Library)</w:t>
      </w:r>
    </w:p>
    <w:p>
      <w:pPr>
        <w:pStyle w:val="P30"/>
        <w:framePr w:w="3921" w:h="607" w:hRule="exact" w:wrap="none" w:vAnchor="page" w:hAnchor="margin" w:x="6800" w:y="9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5"/>
        <w:rPr>
          <w:rStyle w:val="C11"/>
          <w:rtl w:val="0"/>
        </w:rPr>
      </w:pPr>
      <w:r>
        <w:rPr>
          <w:rStyle w:val="C11"/>
          <w:rtl w:val="0"/>
        </w:rPr>
        <w:t>c) Popsat problematiku poskytování služeb v cloudu s ohledem na zajištění vhodné úrovně kybernetické bezpečnosti</w:t>
      </w:r>
    </w:p>
    <w:p>
      <w:pPr>
        <w:pStyle w:val="P28"/>
        <w:framePr w:w="3921" w:h="607" w:hRule="exact" w:wrap="none" w:vAnchor="page" w:hAnchor="margin" w:x="6800" w:y="10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změn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Popsat význam  termínu významná změna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Popsat řízení rizik a zavedení opatření u významných změn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principy a účel penetračního testování a testování zranitelností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Rozhodnout o provedení penetračního testování a stanovit postup v rámci organizace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92"/>
        <w:rPr>
          <w:rStyle w:val="C18"/>
          <w:rtl w:val="0"/>
        </w:rPr>
      </w:pPr>
      <w:r>
        <w:rPr>
          <w:rStyle w:val="C18"/>
          <w:rtl w:val="0"/>
        </w:rPr>
        <w:t>Řízení přístupu a identit v oblasti kybernetické bezpečnosti</w:t>
      </w:r>
    </w:p>
    <w:p>
      <w:pPr>
        <w:pStyle w:val="P24"/>
        <w:framePr w:w="6713" w:h="376" w:hRule="exact" w:wrap="none" w:vAnchor="page" w:hAnchor="margin" w:x="45" w:y="77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a) Popsat cíl a příklady opatření v oblasti řízení přístupů a identit v souladu s vyhláškou č. 409/2025 Sb., o bezpečnostních opatřeních poskytovatele regulované služby v režimu vyšších povinností, ve znění pozdějších předpisů, a vyhláškou č. 410/2025 Sb., o bezpečnostních opatřeních poskytovatele regulované služby v režimu nižších povinností, ve znění pozdějších předpisů</w:t>
      </w:r>
    </w:p>
    <w:p>
      <w:pPr>
        <w:pStyle w:val="P28"/>
        <w:framePr w:w="3921" w:h="1504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6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67"/>
        <w:rPr>
          <w:rStyle w:val="C13"/>
          <w:rtl w:val="0"/>
        </w:rPr>
      </w:pPr>
      <w:r>
        <w:rPr>
          <w:rStyle w:val="C13"/>
          <w:rtl w:val="0"/>
        </w:rPr>
        <w:t>b) Uvést příklad možné implementace opatření v oblasti řízení přístupu a identit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6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2"/>
        <w:rPr>
          <w:rStyle w:val="C11"/>
          <w:rtl w:val="0"/>
        </w:rPr>
      </w:pPr>
      <w:r>
        <w:rPr>
          <w:rStyle w:val="C11"/>
          <w:rtl w:val="0"/>
        </w:rPr>
        <w:t>c) Uvést, jaké autentizační mechanismy a jejich vynucovací pravidla lze využít pro ověření identity</w:t>
      </w:r>
    </w:p>
    <w:p>
      <w:pPr>
        <w:pStyle w:val="P28"/>
        <w:framePr w:w="3921" w:h="607" w:hRule="exact" w:wrap="none" w:vAnchor="page" w:hAnchor="margin" w:x="6800" w:y="106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2"/>
        <w:rPr>
          <w:rStyle w:val="C18"/>
          <w:rtl w:val="0"/>
        </w:rPr>
      </w:pPr>
      <w:r>
        <w:rPr>
          <w:rStyle w:val="C18"/>
          <w:rtl w:val="0"/>
        </w:rPr>
        <w:t>Zajištění bezpečnosti v oblasti akvizice, vývoje a údržby kybernetické bezpečnosti</w:t>
      </w:r>
    </w:p>
    <w:p>
      <w:pPr>
        <w:pStyle w:val="P24"/>
        <w:framePr w:w="6713" w:h="376" w:hRule="exact" w:wrap="none" w:vAnchor="page" w:hAnchor="margin" w:x="45" w:y="12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263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2693"/>
        <w:rPr>
          <w:rStyle w:val="C11"/>
          <w:rtl w:val="0"/>
        </w:rPr>
      </w:pPr>
      <w:r>
        <w:rPr>
          <w:rStyle w:val="C11"/>
          <w:rtl w:val="0"/>
        </w:rPr>
        <w:t xml:space="preserve">a) Popsat cíl bezpečnostních opatření v oblasti akvizice, vývoje a údržby v souladu s vyhláškou  č. 409/2025 Sb., o bezpečnostních opatřeních poskytovatele regulované služby v režimu vyšších povinností, ve znění pozdějších předpisů, pro zadanou povinnou osobu v souladu se zákonem č. 264/2025 Sb., o kybernetické bezpečnosti, ve znění pozdějších předpisů</w:t>
      </w:r>
    </w:p>
    <w:p>
      <w:pPr>
        <w:pStyle w:val="P28"/>
        <w:framePr w:w="3921" w:h="1280" w:hRule="exact" w:wrap="none" w:vAnchor="page" w:hAnchor="margin" w:x="6800" w:y="1263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26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39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973"/>
        <w:rPr>
          <w:rStyle w:val="C13"/>
          <w:rtl w:val="0"/>
        </w:rPr>
      </w:pPr>
      <w:r>
        <w:rPr>
          <w:rStyle w:val="C13"/>
          <w:rtl w:val="0"/>
        </w:rPr>
        <w:t>b) Popsat proces provádění bezpečnostního testování významných změn před jejich nasazením do provozu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139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bezpečnostních a provozních událostí v oblasti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cíl vyhodnocování bezpečnostních a provozních událostí v organizaci v souladu s vyhláškou č. 409/2025 Sb., o bezpečnostních opatřeních poskytovatele regulované služby v režimu vyšších povinností, ve znění pozdějších předpisů; demonstrovat na příkladu omezení případů nesprávného vyhodnocení událostí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Popsat postupy pro detekci a vyhodnocování kybernetických bezpečnostních událostí a incidentů, jejich koordinaci a zvládání v organizaci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280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4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078"/>
        <w:rPr>
          <w:rStyle w:val="C18"/>
          <w:rtl w:val="0"/>
        </w:rPr>
      </w:pPr>
      <w:r>
        <w:rPr>
          <w:rStyle w:val="C18"/>
          <w:rtl w:val="0"/>
        </w:rPr>
        <w:t>Koordinace řízení kybernetických bezpečnostních incidentů</w:t>
      </w:r>
    </w:p>
    <w:p>
      <w:pPr>
        <w:pStyle w:val="P24"/>
        <w:framePr w:w="6713" w:h="376" w:hRule="exact" w:wrap="none" w:vAnchor="page" w:hAnchor="margin" w:x="45" w:y="65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49"/>
        <w:rPr>
          <w:rStyle w:val="C11"/>
          <w:rtl w:val="0"/>
        </w:rPr>
      </w:pPr>
      <w:r>
        <w:rPr>
          <w:rStyle w:val="C11"/>
          <w:rtl w:val="0"/>
        </w:rPr>
        <w:t>a) Popsat metody detekce a zvládání kybernetických bezpečnostních incidentů</w:t>
      </w:r>
    </w:p>
    <w:p>
      <w:pPr>
        <w:pStyle w:val="P28"/>
        <w:framePr w:w="3921" w:h="607" w:hRule="exact" w:wrap="none" w:vAnchor="page" w:hAnchor="margin" w:x="6800" w:y="68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500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556"/>
        <w:rPr>
          <w:rStyle w:val="C13"/>
          <w:rtl w:val="0"/>
        </w:rPr>
      </w:pPr>
      <w:r>
        <w:rPr>
          <w:rStyle w:val="C13"/>
          <w:rtl w:val="0"/>
        </w:rPr>
        <w:t>b) Popsat metody zjišťování útoků na informační a komunikační technologie a metody monitorování kybernetické bezpečnosti, popsat vedení záznamů v souladu se zákonem č. 264/2025 Sb., o kybernetické bezpečnosti, ve znění pozdějších předpisů, a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504" w:hRule="exact" w:wrap="none" w:vAnchor="page" w:hAnchor="margin" w:x="6800" w:y="7500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5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c) Vysvětlit způsoby zvládání kybernetických bezpečnostních incidentů a způsoby vedení záznamů s tím souvisejících včetně návaznosti na ostatní procesy organizace</w:t>
      </w:r>
    </w:p>
    <w:p>
      <w:pPr>
        <w:pStyle w:val="P28"/>
        <w:framePr w:w="3921" w:h="831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8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891"/>
        <w:rPr>
          <w:rStyle w:val="C13"/>
          <w:rtl w:val="0"/>
        </w:rPr>
      </w:pPr>
      <w:r>
        <w:rPr>
          <w:rStyle w:val="C13"/>
          <w:rtl w:val="0"/>
        </w:rPr>
        <w:t>d) Demonstrovat zvládání kybernetického bezpečnostního incidentu, a to v souladu s vyhláškou č. 409/2025 Sb., o bezpečnostních opatřeních poskytovatele regulované služby v režimu vyšších povinností, ve znění pozdějších předpisů</w:t>
      </w:r>
    </w:p>
    <w:p>
      <w:pPr>
        <w:pStyle w:val="P30"/>
        <w:framePr w:w="3921" w:h="1055" w:hRule="exact" w:wrap="none" w:vAnchor="page" w:hAnchor="margin" w:x="6800" w:y="98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8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39"/>
        <w:rPr>
          <w:rStyle w:val="C18"/>
          <w:rtl w:val="0"/>
        </w:rPr>
      </w:pPr>
      <w:r>
        <w:rPr>
          <w:rStyle w:val="C18"/>
          <w:rtl w:val="0"/>
        </w:rPr>
        <w:t>Zajišťování fyzické bezpečnosti v oblasti kybernetické bezpečnosti</w:t>
      </w:r>
    </w:p>
    <w:p>
      <w:pPr>
        <w:pStyle w:val="P24"/>
        <w:framePr w:w="6713" w:h="376" w:hRule="exact" w:wrap="none" w:vAnchor="page" w:hAnchor="margin" w:x="45" w:y="11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225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2311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fyzické bezpečnosti,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1225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2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b) Představit příklad možné aplikace vhodného bezpečnostního opatření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bezpečnostních opatření v oblasti ochrany před škodlivým kódem v oboru kybernetické bezpečnosti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cíl bezpečnostních opatření v oblasti ochrany před škodlivým kódem, v souladu s vyhláškou č. 409/2025 Sb., o bezpečnostních opatřeních poskytovatele regulované služby v režimu vyšších povinností, ve znění pozdějších předpisů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Popsat důvody pro pravidelnou aktualizaci nástroje pro ochranu před škodlivým kódem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Vyjmenovat alespoň 3 typy malware a krátce je popsat</w:t>
      </w:r>
    </w:p>
    <w:p>
      <w:pPr>
        <w:pStyle w:val="P28"/>
        <w:framePr w:w="3921" w:h="376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Řízení kontinuity činností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Vysvětlit principy tvorby analýzy dopadů (BIA)</w:t>
      </w:r>
    </w:p>
    <w:p>
      <w:pPr>
        <w:pStyle w:val="P28"/>
        <w:framePr w:w="3921" w:h="376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2"/>
        <w:rPr>
          <w:rStyle w:val="C13"/>
          <w:rtl w:val="0"/>
        </w:rPr>
      </w:pPr>
      <w:r>
        <w:rPr>
          <w:rStyle w:val="C13"/>
          <w:rtl w:val="0"/>
        </w:rPr>
        <w:t>b) Objasnit tvorbu plánů kontinuity (BCP) a plánů obnovy (DRP)</w:t>
      </w:r>
    </w:p>
    <w:p>
      <w:pPr>
        <w:pStyle w:val="P30"/>
        <w:framePr w:w="3921" w:h="376" w:hRule="exact" w:wrap="none" w:vAnchor="page" w:hAnchor="margin" w:x="6800" w:y="6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88"/>
        <w:rPr>
          <w:rStyle w:val="C11"/>
          <w:rtl w:val="0"/>
        </w:rPr>
      </w:pPr>
      <w:r>
        <w:rPr>
          <w:rStyle w:val="C11"/>
          <w:rtl w:val="0"/>
        </w:rPr>
        <w:t>c) Představit základní typy testování BCP a DRP</w:t>
      </w:r>
    </w:p>
    <w:p>
      <w:pPr>
        <w:pStyle w:val="P28"/>
        <w:framePr w:w="3921" w:h="376" w:hRule="exact" w:wrap="none" w:vAnchor="page" w:hAnchor="margin" w:x="6800" w:y="7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23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93" w:h="230" w:hRule="exact" w:wrap="none" w:vAnchor="page" w:hAnchor="margin" w:x="6403" w:y="1123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5" w:y="11710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35" w:h="230" w:hRule="exact" w:wrap="none" w:vAnchor="page" w:hAnchor="margin" w:x="1094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1872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673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441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1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155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812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6945" w:y="1171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7228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876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049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241" w:h="230" w:hRule="exact" w:wrap="none" w:vAnchor="page" w:hAnchor="margin" w:x="8860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62" w:h="230" w:hRule="exact" w:wrap="none" w:vAnchor="page" w:hAnchor="margin" w:x="9144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9"/>
        <w:framePr w:w="73" w:h="230" w:hRule="exact" w:wrap="none" w:vAnchor="page" w:hAnchor="margin" w:x="2308" w:y="11945"/>
        <w:rPr>
          <w:rStyle w:val="C28"/>
          <w:rtl w:val="0"/>
        </w:rPr>
      </w:pPr>
      <w:r>
        <w:rPr>
          <w:rStyle w:val="C28"/>
          <w:rtl w:val="0"/>
        </w:rPr>
        <w:t>:</w:t>
      </w:r>
    </w:p>
    <w:p>
      <w:pPr>
        <w:pStyle w:val="P38"/>
        <w:framePr w:w="447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18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218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218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218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24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3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2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24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24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24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24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2430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2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243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243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243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243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24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243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243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266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266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266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266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266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29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29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29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2910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29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29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29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2910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29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29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29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2910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291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291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37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3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3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3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375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375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375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37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375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3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3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375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3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3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37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3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3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3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60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6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60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60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6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40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4076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40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407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3720" w:y="1407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05" w:h="230" w:hRule="exact" w:wrap="none" w:vAnchor="page" w:hAnchor="margin" w:x="4368" w:y="14076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5515" w:y="140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5798" w:y="1407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6523" w:y="14076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7382" w:y="14076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725" w:h="230" w:hRule="exact" w:wrap="none" w:vAnchor="page" w:hAnchor="margin" w:x="7996" w:y="1407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749" w:h="230" w:hRule="exact" w:wrap="none" w:vAnchor="page" w:hAnchor="margin" w:x="8764" w:y="140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9556" w:y="1407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1"/>
        <w:framePr w:w="375" w:h="245" w:hRule="exact" w:wrap="none" w:vAnchor="page" w:hAnchor="margin" w:x="28" w:y="143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43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43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43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43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225" w:h="230" w:hRule="exact" w:wrap="none" w:vAnchor="page" w:hAnchor="margin" w:x="4291" w:y="14326"/>
        <w:rPr>
          <w:rStyle w:val="C26"/>
          <w:rtl w:val="0"/>
        </w:rPr>
      </w:pPr>
      <w:r>
        <w:rPr>
          <w:rStyle w:val="C26"/>
          <w:rtl w:val="0"/>
        </w:rPr>
        <w:t>bezpečnosti,</w:t>
      </w:r>
    </w:p>
    <w:p>
      <w:pPr>
        <w:pStyle w:val="P38"/>
        <w:framePr w:w="783" w:h="230" w:hRule="exact" w:wrap="none" w:vAnchor="page" w:hAnchor="margin" w:x="5558" w:y="143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43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432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6902" w:y="143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1"/>
        <w:framePr w:w="375" w:h="245" w:hRule="exact" w:wrap="none" w:vAnchor="page" w:hAnchor="margin" w:x="28" w:y="145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14575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1457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1457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14575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14575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1457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1457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14575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1457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145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145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14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8769" w:y="1457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0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5046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15046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15046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150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150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15046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150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15046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150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150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8990" w:y="1504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15276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152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3504" w:y="15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05" w:h="230" w:hRule="exact" w:wrap="none" w:vAnchor="page" w:hAnchor="margin" w:x="4104" w:y="15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46" w:h="230" w:hRule="exact" w:wrap="none" w:vAnchor="page" w:hAnchor="margin" w:x="4651" w:y="152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640" w:y="152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155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15526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15526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15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15526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15526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15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155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1552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6619" w:y="1552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6902" w:y="1552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2173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2173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217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2173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217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21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217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2173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217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7310" w:y="21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425" w:y="21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2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486" w:y="217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658" w:h="230" w:hRule="exact" w:wrap="none" w:vAnchor="page" w:hAnchor="margin" w:x="8769" w:y="21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264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2644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2644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264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264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15" w:h="230" w:hRule="exact" w:wrap="none" w:vAnchor="page" w:hAnchor="margin" w:x="4454" w:y="2644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112" w:y="2644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6048" w:y="26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206" w:y="264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729" w:y="264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7334" w:y="264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881" w:y="26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097" w:y="2644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923" w:y="264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748" w:y="264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456" w:y="2874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1171" w:y="2874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31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1857" w:y="3345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481" w:y="33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2860" w:y="334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528" w:y="33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372" w:y="3345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4833" w:y="33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212" w:y="3345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5736" w:y="3345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8"/>
        <w:framePr w:w="149" w:h="230" w:hRule="exact" w:wrap="none" w:vAnchor="page" w:hAnchor="margin" w:x="6883" w:y="3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7075" w:y="334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7742" w:y="334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8476" w:y="33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937" w:y="334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9552" w:y="33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" w:y="35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662" w:y="35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1329" w:y="357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2342" w:y="35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2721" w:y="357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3600" w:y="357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4267" w:y="35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3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40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4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40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4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40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40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4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40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404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7171" w:y="4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344" w:y="40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7881" w:y="404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8592" w:y="404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428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4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4281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615" w:h="230" w:hRule="exact" w:wrap="none" w:vAnchor="page" w:hAnchor="margin" w:x="3720" w:y="42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4281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428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428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42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42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4281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451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57" w:h="230" w:hRule="exact" w:wrap="none" w:vAnchor="page" w:hAnchor="margin" w:x="388" w:y="4530"/>
        <w:rPr>
          <w:rStyle w:val="C26"/>
          <w:rtl w:val="0"/>
        </w:rPr>
      </w:pPr>
      <w:r>
        <w:rPr>
          <w:rStyle w:val="C26"/>
          <w:rtl w:val="0"/>
        </w:rPr>
        <w:t>Uplatňování</w:t>
      </w:r>
    </w:p>
    <w:p>
      <w:pPr>
        <w:pStyle w:val="P37"/>
        <w:framePr w:w="802" w:h="230" w:hRule="exact" w:wrap="none" w:vAnchor="page" w:hAnchor="margin" w:x="1588" w:y="4530"/>
        <w:rPr>
          <w:rStyle w:val="C26"/>
          <w:rtl w:val="0"/>
        </w:rPr>
      </w:pPr>
      <w:r>
        <w:rPr>
          <w:rStyle w:val="C26"/>
          <w:rtl w:val="0"/>
        </w:rPr>
        <w:t>principů</w:t>
      </w:r>
    </w:p>
    <w:p>
      <w:pPr>
        <w:pStyle w:val="P37"/>
        <w:framePr w:w="538" w:h="230" w:hRule="exact" w:wrap="none" w:vAnchor="page" w:hAnchor="margin" w:x="2433" w:y="453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014" w:y="453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291" w:y="453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43" w:y="453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58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384" w:y="45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6619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6792" w:y="453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7507" w:y="4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32" w:y="45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8568" w:y="45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740" w:y="453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47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4780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471" w:h="230" w:hRule="exact" w:wrap="none" w:vAnchor="page" w:hAnchor="margin" w:x="1036" w:y="4780"/>
        <w:rPr>
          <w:rStyle w:val="C26"/>
          <w:rtl w:val="0"/>
        </w:rPr>
      </w:pPr>
      <w:r>
        <w:rPr>
          <w:rStyle w:val="C26"/>
          <w:rtl w:val="0"/>
        </w:rPr>
        <w:t>aktiv</w:t>
      </w:r>
    </w:p>
    <w:p>
      <w:pPr>
        <w:pStyle w:val="P37"/>
        <w:framePr w:w="130" w:h="230" w:hRule="exact" w:wrap="none" w:vAnchor="page" w:hAnchor="margin" w:x="1550" w:y="478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34" w:h="230" w:hRule="exact" w:wrap="none" w:vAnchor="page" w:hAnchor="margin" w:x="1723" w:y="4780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3000" w:y="4780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4152" w:y="478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267" w:y="47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092" w:y="4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5328" w:y="478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5500" w:y="4780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0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15" w:h="230" w:hRule="exact" w:wrap="none" w:vAnchor="page" w:hAnchor="margin" w:x="388" w:y="5029"/>
        <w:rPr>
          <w:rStyle w:val="C26"/>
          <w:rtl w:val="0"/>
        </w:rPr>
      </w:pPr>
      <w:r>
        <w:rPr>
          <w:rStyle w:val="C26"/>
          <w:rtl w:val="0"/>
        </w:rPr>
        <w:t>Plnění</w:t>
      </w:r>
    </w:p>
    <w:p>
      <w:pPr>
        <w:pStyle w:val="P37"/>
        <w:framePr w:w="1047" w:h="230" w:hRule="exact" w:wrap="none" w:vAnchor="page" w:hAnchor="margin" w:x="1046" w:y="5029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2136" w:y="502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45" w:h="230" w:hRule="exact" w:wrap="none" w:vAnchor="page" w:hAnchor="margin" w:x="2428" w:y="5029"/>
        <w:rPr>
          <w:rStyle w:val="C26"/>
          <w:rtl w:val="0"/>
        </w:rPr>
      </w:pPr>
      <w:r>
        <w:rPr>
          <w:rStyle w:val="C26"/>
          <w:rtl w:val="0"/>
        </w:rPr>
        <w:t>vrcholné</w:t>
      </w:r>
    </w:p>
    <w:p>
      <w:pPr>
        <w:pStyle w:val="P37"/>
        <w:framePr w:w="649" w:h="230" w:hRule="exact" w:wrap="none" w:vAnchor="page" w:hAnchor="margin" w:x="3316" w:y="502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30" w:h="230" w:hRule="exact" w:wrap="none" w:vAnchor="page" w:hAnchor="margin" w:x="4008" w:y="502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180" w:y="502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4881" w:y="502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6158" w:y="50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7310" w:y="502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7425" w:y="50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51" w:y="50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486" w:y="5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8659" w:y="502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2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527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16" w:h="230" w:hRule="exact" w:wrap="none" w:vAnchor="page" w:hAnchor="margin" w:x="1036" w:y="5279"/>
        <w:rPr>
          <w:rStyle w:val="C26"/>
          <w:rtl w:val="0"/>
        </w:rPr>
      </w:pPr>
      <w:r>
        <w:rPr>
          <w:rStyle w:val="C26"/>
          <w:rtl w:val="0"/>
        </w:rPr>
        <w:t>rozvoje</w:t>
      </w:r>
    </w:p>
    <w:p>
      <w:pPr>
        <w:pStyle w:val="P37"/>
        <w:framePr w:w="1532" w:h="230" w:hRule="exact" w:wrap="none" w:vAnchor="page" w:hAnchor="margin" w:x="1795" w:y="5279"/>
        <w:rPr>
          <w:rStyle w:val="C26"/>
          <w:rtl w:val="0"/>
        </w:rPr>
      </w:pPr>
      <w:r>
        <w:rPr>
          <w:rStyle w:val="C26"/>
          <w:rtl w:val="0"/>
        </w:rPr>
        <w:t>bezpečnostního</w:t>
      </w:r>
    </w:p>
    <w:p>
      <w:pPr>
        <w:pStyle w:val="P37"/>
        <w:framePr w:w="956" w:h="230" w:hRule="exact" w:wrap="none" w:vAnchor="page" w:hAnchor="margin" w:x="3369" w:y="5279"/>
        <w:rPr>
          <w:rStyle w:val="C26"/>
          <w:rtl w:val="0"/>
        </w:rPr>
      </w:pPr>
      <w:r>
        <w:rPr>
          <w:rStyle w:val="C26"/>
          <w:rtl w:val="0"/>
        </w:rPr>
        <w:t>povědomí</w:t>
      </w:r>
    </w:p>
    <w:p>
      <w:pPr>
        <w:pStyle w:val="P37"/>
        <w:framePr w:w="1057" w:h="230" w:hRule="exact" w:wrap="none" w:vAnchor="page" w:hAnchor="margin" w:x="4368" w:y="527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26" w:h="230" w:hRule="exact" w:wrap="none" w:vAnchor="page" w:hAnchor="margin" w:x="5467" w:y="5279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34" w:h="230" w:hRule="exact" w:wrap="none" w:vAnchor="page" w:hAnchor="margin" w:x="6336" w:y="527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7612" w:y="527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42"/>
        <w:framePr w:w="73" w:h="230" w:hRule="exact" w:wrap="none" w:vAnchor="page" w:hAnchor="margin" w:x="8764" w:y="5279"/>
        <w:rPr>
          <w:rStyle w:val="C31"/>
          <w:rtl w:val="0"/>
        </w:rPr>
      </w:pPr>
      <w:r>
        <w:rPr>
          <w:rStyle w:val="C31"/>
          <w:rtl w:val="0"/>
        </w:rPr>
        <w:t>,</w:t>
      </w:r>
    </w:p>
    <w:p>
      <w:pPr>
        <w:pStyle w:val="P38"/>
        <w:framePr w:w="783" w:h="230" w:hRule="exact" w:wrap="none" w:vAnchor="page" w:hAnchor="margin" w:x="8880" w:y="52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705" w:y="52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940" w:y="5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388" w:y="550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783" w:h="230" w:hRule="exact" w:wrap="none" w:vAnchor="page" w:hAnchor="margin" w:x="1104" w:y="55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929" w:y="55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164" w:y="55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2337" w:y="550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41"/>
        <w:framePr w:w="375" w:h="245" w:hRule="exact" w:wrap="none" w:vAnchor="page" w:hAnchor="margin" w:x="28" w:y="57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14" w:h="230" w:hRule="exact" w:wrap="none" w:vAnchor="page" w:hAnchor="margin" w:x="388" w:y="5759"/>
        <w:rPr>
          <w:rStyle w:val="C26"/>
          <w:rtl w:val="0"/>
        </w:rPr>
      </w:pPr>
      <w:r>
        <w:rPr>
          <w:rStyle w:val="C26"/>
          <w:rtl w:val="0"/>
        </w:rPr>
        <w:t>Koordinace</w:t>
      </w:r>
    </w:p>
    <w:p>
      <w:pPr>
        <w:pStyle w:val="P37"/>
        <w:framePr w:w="538" w:h="230" w:hRule="exact" w:wrap="none" w:vAnchor="page" w:hAnchor="margin" w:x="1545" w:y="575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469" w:h="230" w:hRule="exact" w:wrap="none" w:vAnchor="page" w:hAnchor="margin" w:x="2126" w:y="5759"/>
        <w:rPr>
          <w:rStyle w:val="C26"/>
          <w:rtl w:val="0"/>
        </w:rPr>
      </w:pPr>
      <w:r>
        <w:rPr>
          <w:rStyle w:val="C26"/>
          <w:rtl w:val="0"/>
        </w:rPr>
        <w:t>kybernetických</w:t>
      </w:r>
    </w:p>
    <w:p>
      <w:pPr>
        <w:pStyle w:val="P37"/>
        <w:framePr w:w="1522" w:h="230" w:hRule="exact" w:wrap="none" w:vAnchor="page" w:hAnchor="margin" w:x="3638" w:y="5759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903" w:h="230" w:hRule="exact" w:wrap="none" w:vAnchor="page" w:hAnchor="margin" w:x="5203" w:y="5759"/>
        <w:rPr>
          <w:rStyle w:val="C26"/>
          <w:rtl w:val="0"/>
        </w:rPr>
      </w:pPr>
      <w:r>
        <w:rPr>
          <w:rStyle w:val="C26"/>
          <w:rtl w:val="0"/>
        </w:rPr>
        <w:t>incidentů</w:t>
      </w:r>
    </w:p>
    <w:p>
      <w:pPr>
        <w:pStyle w:val="P38"/>
        <w:framePr w:w="73" w:h="230" w:hRule="exact" w:wrap="none" w:vAnchor="page" w:hAnchor="margin" w:x="6091" w:y="57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6206" w:y="57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032" w:y="57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7267" w:y="5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73" w:h="230" w:hRule="exact" w:wrap="none" w:vAnchor="page" w:hAnchor="margin" w:x="7440" w:y="5759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59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2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2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22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6229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62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622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62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6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622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62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622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622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6229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6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4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6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69" w:h="230" w:hRule="exact" w:wrap="none" w:vAnchor="page" w:hAnchor="margin" w:x="2068" w:y="6465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893" w:h="230" w:hRule="exact" w:wrap="none" w:vAnchor="page" w:hAnchor="margin" w:x="2980" w:y="64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93" w:h="230" w:hRule="exact" w:wrap="none" w:vAnchor="page" w:hAnchor="margin" w:x="3916" w:y="6465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30" w:h="230" w:hRule="exact" w:wrap="none" w:vAnchor="page" w:hAnchor="margin" w:x="4752" w:y="6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924" w:y="6465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106" w:h="230" w:hRule="exact" w:wrap="none" w:vAnchor="page" w:hAnchor="margin" w:x="5529" w:y="64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5678" w:y="6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836" w:y="6465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6494" w:y="646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274" w:h="230" w:hRule="exact" w:wrap="none" w:vAnchor="page" w:hAnchor="margin" w:x="7272" w:y="6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7588" w:y="6465"/>
        <w:rPr>
          <w:rStyle w:val="C27"/>
          <w:rtl w:val="0"/>
        </w:rPr>
      </w:pPr>
      <w:r>
        <w:rPr>
          <w:rStyle w:val="C27"/>
          <w:rtl w:val="0"/>
        </w:rPr>
        <w:t>vypracování</w:t>
      </w:r>
    </w:p>
    <w:p>
      <w:pPr>
        <w:pStyle w:val="P38"/>
        <w:framePr w:w="980" w:h="230" w:hRule="exact" w:wrap="none" w:vAnchor="page" w:hAnchor="margin" w:x="8721" w:y="6465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9744" w:y="64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93" w:h="230" w:hRule="exact" w:wrap="none" w:vAnchor="page" w:hAnchor="margin" w:x="28" w:y="66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364" w:y="6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166" w:y="669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562" w:h="230" w:hRule="exact" w:wrap="none" w:vAnchor="page" w:hAnchor="margin" w:x="1449" w:y="669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9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71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716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71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716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71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716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71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71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716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7165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716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593" w:y="71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766" w:y="716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93" w:h="230" w:hRule="exact" w:wrap="none" w:vAnchor="page" w:hAnchor="margin" w:x="8304" w:y="7165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40"/>
        <w:framePr w:w="375" w:h="245" w:hRule="exact" w:wrap="none" w:vAnchor="page" w:hAnchor="margin" w:x="28" w:y="74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741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741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74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7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741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7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741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7415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741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741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7415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7415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7415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7645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764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764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764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7645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7645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764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76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764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78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8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1046" w:y="78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473" w:y="789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378" w:h="230" w:hRule="exact" w:wrap="none" w:vAnchor="page" w:hAnchor="margin" w:x="2462" w:y="78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03" w:h="230" w:hRule="exact" w:wrap="none" w:vAnchor="page" w:hAnchor="margin" w:x="3883" w:y="7895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4828" w:y="7895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5476" w:y="78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700" w:y="78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7305" w:y="7895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7953" w:y="7895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8644" w:y="78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8928" w:y="7895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0075" w:y="7895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388" w:y="81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47" w:y="81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70" w:y="81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1272" w:y="81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073" w:y="81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2620" w:y="81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398" w:y="8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71" w:y="81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3840" w:y="812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540" w:y="81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4756" w:y="81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5227" w:y="8125"/>
        <w:rPr>
          <w:rStyle w:val="C27"/>
          <w:rtl w:val="0"/>
        </w:rPr>
      </w:pPr>
      <w:r>
        <w:rPr>
          <w:rStyle w:val="C27"/>
          <w:rtl w:val="0"/>
        </w:rPr>
        <w:t>uvedeno:</w:t>
      </w:r>
    </w:p>
    <w:p>
      <w:pPr>
        <w:pStyle w:val="P40"/>
        <w:framePr w:w="375" w:h="245" w:hRule="exact" w:wrap="none" w:vAnchor="page" w:hAnchor="margin" w:x="388" w:y="8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375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83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8375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8375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8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862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8625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8625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862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8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8625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8625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8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862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8625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8625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8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887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887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8874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9124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9124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912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912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912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9124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9124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9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9373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937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9373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9373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937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962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9623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9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9623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9623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962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9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962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9623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38"/>
        <w:framePr w:w="73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09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0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09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09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09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0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009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0093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0093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009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03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03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03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0343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0343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0343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034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034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034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0343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034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0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0343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05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05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057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0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0573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05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0573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0573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0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0573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05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057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08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0823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08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0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082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082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08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0823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0823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0823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0823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0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0823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0823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082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08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053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053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053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05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52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5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52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5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52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5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708" w:y="11524"/>
        <w:rPr>
          <w:rStyle w:val="C27"/>
          <w:rtl w:val="0"/>
        </w:rPr>
      </w:pPr>
      <w:r>
        <w:rPr>
          <w:rStyle w:val="C27"/>
          <w:rtl w:val="0"/>
        </w:rPr>
        <w:t>uvedeno </w:t>
      </w:r>
    </w:p>
    <w:p>
      <w:pPr>
        <w:pStyle w:val="P37"/>
        <w:framePr w:w="495" w:h="230" w:hRule="exact" w:wrap="none" w:vAnchor="page" w:hAnchor="margin" w:x="5529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67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241" w:h="230" w:hRule="exact" w:wrap="none" w:vAnchor="page" w:hAnchor="margin" w:x="6777" w:y="11524"/>
        <w:rPr>
          <w:rStyle w:val="C27"/>
          <w:rtl w:val="0"/>
        </w:rPr>
      </w:pPr>
      <w:r>
        <w:rPr>
          <w:rStyle w:val="C27"/>
          <w:rtl w:val="0"/>
        </w:rPr>
        <w:t> a </w:t>
      </w:r>
    </w:p>
    <w:p>
      <w:pPr>
        <w:pStyle w:val="P37"/>
        <w:framePr w:w="893" w:h="230" w:hRule="exact" w:wrap="none" w:vAnchor="page" w:hAnchor="margin" w:x="7003" w:y="1152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30" w:h="230" w:hRule="exact" w:wrap="none" w:vAnchor="page" w:hAnchor="margin" w:x="7939" w:y="115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8112" w:y="1152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649" w:y="1152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9360" w:y="115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181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175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17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3436" w:y="11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3720" w:y="117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4377" w:y="11759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303" w:h="230" w:hRule="exact" w:wrap="none" w:vAnchor="page" w:hAnchor="margin" w:x="5246" w:y="11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592" w:y="1175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6292" w:y="117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557" w:h="230" w:hRule="exact" w:wrap="none" w:vAnchor="page" w:hAnchor="margin" w:x="7516" w:y="117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8116" w:y="117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06" w:h="230" w:hRule="exact" w:wrap="none" w:vAnchor="page" w:hAnchor="margin" w:x="8385" w:y="11759"/>
        <w:rPr>
          <w:rStyle w:val="C27"/>
          <w:rtl w:val="0"/>
        </w:rPr>
      </w:pPr>
      <w:r>
        <w:rPr>
          <w:rStyle w:val="C27"/>
          <w:rtl w:val="0"/>
        </w:rPr>
        <w:t>složení:</w:t>
      </w:r>
    </w:p>
    <w:p>
      <w:pPr>
        <w:pStyle w:val="P41"/>
        <w:framePr w:w="375" w:h="245" w:hRule="exact" w:wrap="none" w:vAnchor="page" w:hAnchor="margin" w:x="28" w:y="11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961" w:h="230" w:hRule="exact" w:wrap="none" w:vAnchor="page" w:hAnchor="margin" w:x="388" w:y="12009"/>
        <w:rPr>
          <w:rStyle w:val="C26"/>
          <w:rtl w:val="0"/>
        </w:rPr>
      </w:pPr>
      <w:r>
        <w:rPr>
          <w:rStyle w:val="C26"/>
          <w:rtl w:val="0"/>
        </w:rPr>
        <w:t>Supervize</w:t>
      </w:r>
    </w:p>
    <w:p>
      <w:pPr>
        <w:pStyle w:val="P37"/>
        <w:framePr w:w="1301" w:h="230" w:hRule="exact" w:wrap="none" w:vAnchor="page" w:hAnchor="margin" w:x="1392" w:y="1200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538" w:h="230" w:hRule="exact" w:wrap="none" w:vAnchor="page" w:hAnchor="margin" w:x="2736" w:y="1200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234" w:h="230" w:hRule="exact" w:wrap="none" w:vAnchor="page" w:hAnchor="margin" w:x="3316" w:y="12009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593" w:y="1200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167" w:h="230" w:hRule="exact" w:wrap="none" w:vAnchor="page" w:hAnchor="margin" w:x="5803" w:y="12009"/>
        <w:rPr>
          <w:rStyle w:val="C26"/>
          <w:rtl w:val="0"/>
        </w:rPr>
      </w:pPr>
      <w:r>
        <w:rPr>
          <w:rStyle w:val="C26"/>
          <w:rtl w:val="0"/>
        </w:rPr>
        <w:t>v organizaci</w:t>
      </w:r>
    </w:p>
    <w:p>
      <w:pPr>
        <w:pStyle w:val="P38"/>
        <w:framePr w:w="73" w:h="230" w:hRule="exact" w:wrap="none" w:vAnchor="page" w:hAnchor="margin" w:x="6955" w:y="120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070" w:y="120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896" w:y="120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131" w:y="120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8304" w:y="1200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8476" w:y="120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41"/>
        <w:framePr w:w="375" w:h="245" w:hRule="exact" w:wrap="none" w:vAnchor="page" w:hAnchor="margin" w:x="28" w:y="122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05" w:h="230" w:hRule="exact" w:wrap="none" w:vAnchor="page" w:hAnchor="margin" w:x="388" w:y="1225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071" w:h="230" w:hRule="exact" w:wrap="none" w:vAnchor="page" w:hAnchor="margin" w:x="1036" w:y="12258"/>
        <w:rPr>
          <w:rStyle w:val="C26"/>
          <w:rtl w:val="0"/>
        </w:rPr>
      </w:pPr>
      <w:r>
        <w:rPr>
          <w:rStyle w:val="C26"/>
          <w:rtl w:val="0"/>
        </w:rPr>
        <w:t>dodavatelů</w:t>
      </w:r>
    </w:p>
    <w:p>
      <w:pPr>
        <w:pStyle w:val="P37"/>
        <w:framePr w:w="130" w:h="230" w:hRule="exact" w:wrap="none" w:vAnchor="page" w:hAnchor="margin" w:x="2150" w:y="1225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2323" w:y="1225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234" w:h="230" w:hRule="exact" w:wrap="none" w:vAnchor="page" w:hAnchor="margin" w:x="3024" w:y="12258"/>
        <w:rPr>
          <w:rStyle w:val="C26"/>
          <w:rtl w:val="0"/>
        </w:rPr>
      </w:pPr>
      <w:r>
        <w:rPr>
          <w:rStyle w:val="C26"/>
          <w:rtl w:val="0"/>
        </w:rPr>
        <w:t>kybernetické</w:t>
      </w:r>
    </w:p>
    <w:p>
      <w:pPr>
        <w:pStyle w:val="P37"/>
        <w:framePr w:w="1167" w:h="230" w:hRule="exact" w:wrap="none" w:vAnchor="page" w:hAnchor="margin" w:x="4300" w:y="1225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8"/>
        <w:framePr w:w="73" w:h="230" w:hRule="exact" w:wrap="none" w:vAnchor="page" w:hAnchor="margin" w:x="5452" w:y="122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568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6393" w:y="1225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6619" w:y="1225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6792" w:y="122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964" w:y="122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8" w:y="124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4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1249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2428" w:y="12493"/>
        <w:rPr>
          <w:rStyle w:val="C27"/>
          <w:rtl w:val="0"/>
        </w:rPr>
      </w:pPr>
      <w:r>
        <w:rPr>
          <w:rStyle w:val="C27"/>
          <w:rtl w:val="0"/>
        </w:rPr>
        <w:t>náhodný</w:t>
      </w:r>
    </w:p>
    <w:p>
      <w:pPr>
        <w:pStyle w:val="P38"/>
        <w:framePr w:w="505" w:h="230" w:hRule="exact" w:wrap="none" w:vAnchor="page" w:hAnchor="margin" w:x="3254" w:y="124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3801" w:y="124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615" w:h="230" w:hRule="exact" w:wrap="none" w:vAnchor="page" w:hAnchor="margin" w:x="4569" w:y="124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5572" w:y="1249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6163" w:y="124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28" w:h="230" w:hRule="exact" w:wrap="none" w:vAnchor="page" w:hAnchor="margin" w:x="6321" w:y="12493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6792" w:y="1249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15" w:h="230" w:hRule="exact" w:wrap="none" w:vAnchor="page" w:hAnchor="margin" w:x="7814" w:y="1249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93" w:h="230" w:hRule="exact" w:wrap="none" w:vAnchor="page" w:hAnchor="margin" w:x="28" w:y="12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7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411" w:y="127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62" w:h="230" w:hRule="exact" w:wrap="none" w:vAnchor="page" w:hAnchor="margin" w:x="2068" w:y="12729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793" w:h="230" w:hRule="exact" w:wrap="none" w:vAnchor="page" w:hAnchor="margin" w:x="2673" w:y="12729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615" w:h="230" w:hRule="exact" w:wrap="none" w:vAnchor="page" w:hAnchor="margin" w:x="3508" w:y="1272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35" w:h="230" w:hRule="exact" w:wrap="none" w:vAnchor="page" w:hAnchor="margin" w:x="4166" w:y="1272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29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9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9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6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6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6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6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6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6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6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6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6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5 vyhlášky č. 409/2025 Sb., o bezpečnostních opatřeních poskytovatele regulované služby v režimu vyšších povinností, ve znění pozdějších předpisů, a nejméně 5 let prokázané odborné praxe v činnostech manažera kybernetické bezpečnosti.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"https://nukib.gov.cz/"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91" w:hRule="exact" w:wrap="none" w:vAnchor="page" w:hAnchor="margin" w:x="0" w:y="119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91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10 případových studií,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51" w:hRule="exact" w:wrap="none" w:vAnchor="page" w:hAnchor="margin" w:x="0" w:y="1225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51" w:hRule="exact" w:wrap="none" w:vAnchor="page" w:hAnchor="margin" w:x="0" w:y="122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21.7.2026 21:29:17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B372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ED9CFD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B1EB27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C18119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