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B94DEA" Type="http://schemas.openxmlformats.org/officeDocument/2006/relationships/officeDocument" Target="/word/document.xml" /><Relationship Id="coreR15B94DEA" Type="http://schemas.openxmlformats.org/package/2006/relationships/metadata/core-properties" Target="/docProps/core.xml" /><Relationship Id="customR15B94D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turbíny (kód: 26-075-M)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turbíny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a ochrana zdraví při práci, první pomoc při úrazu elektrickým proudem, požární řád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nakládání s odpady a znečištěním, produkovaným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termodynamiky a mechaniky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strojovny elektrárny a teplárny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turbosoustrojí a jeho konstrukční části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principech nízkotlaké a vysokotlaké regenerace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principech a druzích tepelných výměníků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principech olejového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principech provozu turbosoustrojí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činnostech při mimořádných stavech provozu výroby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Zkoušení a kontroly funkce turboústrojí, tepelných výměníků a pomocných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Řízení, obsluha turboústrojí, tepelných výměníků v souladu se stanovenými dispečerskými plány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běžné údržby turboústrojí, tepelných výměníků a pomocných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http://katalog.nsp.cz/zdravotniPodminky.aspx?id_jp=102876).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ověřování kompetencí formou praktického předvedení a ústního ověření probíhá s použitím podrobných technologických výkresů, příslušných schémat či jiných reálných písemných podkladů. Dokumentace musí být dostatečně podrobná, aby uchazeč mohl detailně a přesně popsat řešenou problematiku.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 probíhá přímo v reálném provozu nad konkrétními technologiemi.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energetika,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