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F9FAE" Type="http://schemas.openxmlformats.org/officeDocument/2006/relationships/officeDocument" Target="/word/document.xml" /><Relationship Id="coreR56EF9FAE" Type="http://schemas.openxmlformats.org/package/2006/relationships/metadata/core-properties" Target="/docProps/core.xml" /><Relationship Id="customR56EF9F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karosérií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13.9.2026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okruhů ověřování některých kompetencí: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Kalkulace opravy vozidla po krupobití pomocí podkladů pojišťoven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označit důlky na celém vozidle, kalkuluje se na vozidle každý díl zvlášť, kalkulační podklady - používáno pojišťovnou, existují smluvní opravci pojišťoven, jak se řeší, pokud PDR technik není smluvní od pojišťoven, musí se používat ceník pojišťoven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 znamená ekonomická hranice opravy jednotlivých dílů, co používají pojišťovny k rychlé kontrole ekonomické hranice, co znamená totální škoda vozidla, jak se zjistí, jestli je či není vozidlo v totální škodě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kapota a boční rám 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kritických promáčklin na karoserii vozidla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 znamená “lupavka”, za jakých podmínek často vzniká “lupavka”, jak se řeší oprava "lupavky"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kde se často ukážou důlky po lisování z výroby, kde se často ukážou důlky po přilepení výztuhy z výroby, jak se poznají takové vady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se nejlépe poznají mikro-praskliny, kde se často tvoří mikro-praskliny, jak se řeší oprava mikro-praskliny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rozdílu postupu opravy metodou PDR mezi různým materiálem dílu (ocel, hliník)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jaké vlastnosti má hliník proti oceli u metody PDR (Paintless Dent Repair), je možné hliníkový díl opravit metodou PDR (Paintless Dent Repair), je možné hliníkový díl opravit lepením 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Použití světelné trubice na osvětlení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používání světelné trubice u hlubokých důlků, běžné používání světelné trubice u menších důlků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používání světelné trubice, pokud se doladí celková struktura dílu, používání světelné trubice na rovné plochy (kapota, střecha,..), aby se docílila 100% kvalita opravy metody PDR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opatřeních při práci na vozidle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poznání dvojitého skla na vozidle, vedení postupu opravy, pokud se opravuje důlek na dveřích vozidla vybaveného dvojitým sklem</w:t>
      </w:r>
    </w:p>
    <w:p>
      <w:pPr>
        <w:keepNext w:val="0"/>
        <w:keepLines w:val="1"/>
        <w:framePr w:w="10766" w:h="969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poznat, pokud je díl již přelakován (byl lakován), používání metody PDR pro lakování dílů, používání metody PDR “lepení” na lakovaný díl</w:t>
      </w:r>
    </w:p>
    <w:p>
      <w:pPr>
        <w:keepNext w:val="0"/>
        <w:keepLines w:val="0"/>
        <w:framePr w:w="10766" w:h="9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13.9.2026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13.9.2026 18:56:47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F889A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3CAF3BD9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2">
    <w:nsid w:val="42CD309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1D708D4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