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0A058C" Type="http://schemas.openxmlformats.org/officeDocument/2006/relationships/officeDocument" Target="/word/document.xml" /><Relationship Id="coreR90A058C" Type="http://schemas.openxmlformats.org/package/2006/relationships/metadata/core-properties" Target="/docProps/core.xml" /><Relationship Id="customR90A05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 technička desinatérka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desinatér / technička desinatérka, 29.10.2026 3:19:46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 technička desinatérka, 29.10.2026 3:19:46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 technička desinatérka, 29.10.2026 3:19:46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 technička desinatérka, 29.10.2026 3:19:46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 technička desinatérka, 29.10.2026 3:19:46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 technička desinatérka, 29.10.2026 3:19:46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technička desinatérka a střední vzdělání s maturitní zkouškou a alespoň 5 let odborné praxe v oblasti vývoje a technické přípravy výroby textilií nebo v oblasti výroby textilií.</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 technička desinatérka, 29.10.2026 3:19:46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 technička desinatérka, 29.10.2026 3:19:46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 technička desinatérka, 29.10.2026 3:19:46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9B4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D749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