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449A4D" Type="http://schemas.openxmlformats.org/officeDocument/2006/relationships/officeDocument" Target="/word/document.xml" /><Relationship Id="coreR6A449A4D" Type="http://schemas.openxmlformats.org/package/2006/relationships/metadata/core-properties" Target="/docProps/core.xml" /><Relationship Id="customR6A449A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technolog / technička technoložka (kód: 31-060-M)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technolog / technička technoložka, 11.9.2026 18:29:19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Textilní technik (kód: 31-99-M/06)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1"/>
        <w:rPr>
          <w:rStyle w:val="C18"/>
          <w:rtl w:val="0"/>
        </w:rPr>
      </w:pPr>
      <w:r>
        <w:rPr>
          <w:rStyle w:val="C18"/>
          <w:rtl w:val="0"/>
        </w:rPr>
        <w:t>Textilní technik technolog</w:t>
      </w:r>
    </w:p>
    <w:p>
      <w:pPr>
        <w:pStyle w:val="P20"/>
        <w:framePr w:w="5338" w:h="376" w:hRule="exact" w:wrap="none" w:vAnchor="page" w:hAnchor="margin" w:x="5383" w:y="115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1"/>
        <w:rPr>
          <w:rStyle w:val="C19"/>
          <w:rtl w:val="0"/>
        </w:rPr>
      </w:pPr>
      <w:r>
        <w:rPr>
          <w:rStyle w:val="C19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technolog / technička technoložka, 11.9.2026 18:29:19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