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F3C00" Type="http://schemas.openxmlformats.org/officeDocument/2006/relationships/officeDocument" Target="/word/document.xml" /><Relationship Id="coreR6DF3C00" Type="http://schemas.openxmlformats.org/package/2006/relationships/metadata/core-properties" Target="/docProps/core.xml" /><Relationship Id="customR6DF3C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Rozlišení základních způsobů obsluhy a akcí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a výzdoba tabulí a prostor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zařízení v odbytovém středisku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míchaných nápojů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4:13:57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bude provedeno v gastronomickém středisku při simulovaných nebo reálných akcích. Může se jednat o obsluhu při slavnostních příležitostech – banketech, koktejlech, rautech a dalších společenských příležitostech.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 dodržování pravidel obsluhy, ke kvalitě komunikace s hostem i k časovému hledisku. Praktické předvedení činností uchazeč doplní slovním vysvětlením. Bude provedena kontrola kvality vykonané práce.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4:13:57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4:13:57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