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9500D" Type="http://schemas.openxmlformats.org/officeDocument/2006/relationships/officeDocument" Target="/word/document.xml" /><Relationship Id="coreR7FB9500D" Type="http://schemas.openxmlformats.org/package/2006/relationships/metadata/core-properties" Target="/docProps/core.xml" /><Relationship Id="customR7FB95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30.10.2026 21:11:28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budou kompetence ověřovány nejen ve zkušební místnosti, ale také přímo v zemědělském podniku zaměřeném na chov drůbeže. Při vstupu do chovu musí uchazeč splňovat požadavky veterinárních předpisů (zákon č. 166/1999 Sb. a vyhláška č. 342/2012 Sb.) a obecně platných pravidel zoohygieny.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Podklady pro ověřování jednotlivých kompetencí budou brány z konkrétního závodu nebo vytvořeny pro modelový (vzorový) závod. Předvedení dovedností při posuzování potřeby odborného zásahu v chovu drůbeže budou ověřovány v konkrétním chovu.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drůbeže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souboru minimálně 15 fotografií současných plemen a hybridů jednotlivých druhů drůbeže.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počítači s připojením na internet.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užitkových vlastností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s využitím technologického postupu daného hybrida.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30.10.2026 21:11:28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30.10.2026 21:11:28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