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7ED24" Type="http://schemas.openxmlformats.org/officeDocument/2006/relationships/officeDocument" Target="/word/document.xml" /><Relationship Id="coreR65D7ED24" Type="http://schemas.openxmlformats.org/package/2006/relationships/metadata/core-properties" Target="/docProps/core.xml" /><Relationship Id="customR65D7E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055" w:hRule="exact" w:wrap="none" w:vAnchor="page" w:hAnchor="margin" w:x="45" w:y="8368"/>
        <w:rPr>
          <w:rStyle w:val="C3"/>
          <w:rtl w:val="0"/>
        </w:rPr>
      </w:pPr>
    </w:p>
    <w:p>
      <w:pPr>
        <w:pStyle w:val="P13"/>
        <w:framePr w:w="6658" w:h="928"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8368"/>
        <w:rPr>
          <w:rStyle w:val="C3"/>
          <w:rtl w:val="0"/>
        </w:rPr>
      </w:pPr>
    </w:p>
    <w:p>
      <w:pPr>
        <w:pStyle w:val="P29"/>
        <w:framePr w:w="3839" w:h="928"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423"/>
        <w:rPr>
          <w:rStyle w:val="C3"/>
          <w:rtl w:val="0"/>
        </w:rPr>
      </w:pPr>
    </w:p>
    <w:p>
      <w:pPr>
        <w:pStyle w:val="P17"/>
        <w:framePr w:w="6658" w:h="928" w:hRule="exact" w:wrap="none" w:vAnchor="page" w:hAnchor="margin" w:x="71" w:y="9479"/>
        <w:rPr>
          <w:rStyle w:val="C13"/>
          <w:rtl w:val="0"/>
        </w:rPr>
      </w:pPr>
      <w:r>
        <w:rPr>
          <w:rStyle w:val="C13"/>
          <w:rtl w:val="0"/>
        </w:rPr>
        <w:t>d) Popsat vybraná ustanovení zákona č. 166/1999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423"/>
        <w:rPr>
          <w:rStyle w:val="C3"/>
          <w:rtl w:val="0"/>
        </w:rPr>
      </w:pPr>
    </w:p>
    <w:p>
      <w:pPr>
        <w:pStyle w:val="P31"/>
        <w:framePr w:w="3839" w:h="928" w:hRule="exact" w:wrap="none" w:vAnchor="page" w:hAnchor="margin" w:x="6856" w:y="9479"/>
        <w:rPr>
          <w:rStyle w:val="C22"/>
          <w:rtl w:val="0"/>
        </w:rPr>
      </w:pPr>
      <w:r>
        <w:rPr>
          <w:rStyle w:val="C22"/>
          <w:rtl w:val="0"/>
        </w:rPr>
        <w:t>Ústní ověření</w:t>
      </w:r>
    </w:p>
    <w:p>
      <w:pPr>
        <w:pStyle w:val="P32"/>
        <w:framePr w:w="10710" w:h="248" w:hRule="exact" w:wrap="none" w:vAnchor="page" w:hAnchor="margin" w:x="28" w:y="10592"/>
        <w:rPr>
          <w:rStyle w:val="C23"/>
          <w:rtl w:val="0"/>
        </w:rPr>
      </w:pPr>
      <w:r>
        <w:rPr>
          <w:rStyle w:val="C23"/>
          <w:rtl w:val="0"/>
        </w:rPr>
        <w:t>Je třeba splnit všechna kritéria.</w:t>
      </w:r>
    </w:p>
    <w:p>
      <w:pPr>
        <w:pStyle w:val="P23"/>
        <w:framePr w:w="10710" w:h="340" w:hRule="exact" w:wrap="none" w:vAnchor="page" w:hAnchor="margin" w:x="28" w:y="11028"/>
        <w:rPr>
          <w:rStyle w:val="C18"/>
          <w:rtl w:val="0"/>
        </w:rPr>
      </w:pPr>
      <w:r>
        <w:rPr>
          <w:rStyle w:val="C18"/>
          <w:rtl w:val="0"/>
        </w:rPr>
        <w:t>Vedení prvotní evidence v chovech drůbeže</w:t>
      </w:r>
    </w:p>
    <w:p>
      <w:pPr>
        <w:pStyle w:val="P24"/>
        <w:framePr w:w="6713" w:h="376" w:hRule="exact" w:wrap="none" w:vAnchor="page" w:hAnchor="margin" w:x="45" w:y="11467"/>
        <w:rPr>
          <w:rStyle w:val="C3"/>
          <w:rtl w:val="0"/>
        </w:rPr>
      </w:pPr>
    </w:p>
    <w:p>
      <w:pPr>
        <w:pStyle w:val="P25"/>
        <w:framePr w:w="6661" w:h="249" w:hRule="exact" w:wrap="none" w:vAnchor="page" w:hAnchor="margin" w:x="71" w:y="11538"/>
        <w:rPr>
          <w:rStyle w:val="C19"/>
          <w:rtl w:val="0"/>
        </w:rPr>
      </w:pPr>
      <w:r>
        <w:rPr>
          <w:rStyle w:val="C19"/>
          <w:rtl w:val="0"/>
        </w:rPr>
        <w:t>Kritéria hodnocení</w:t>
      </w:r>
    </w:p>
    <w:p>
      <w:pPr>
        <w:pStyle w:val="P26"/>
        <w:framePr w:w="3918" w:h="376" w:hRule="exact" w:wrap="none" w:vAnchor="page" w:hAnchor="margin" w:x="6803" w:y="11467"/>
        <w:rPr>
          <w:rStyle w:val="C3"/>
          <w:rtl w:val="0"/>
        </w:rPr>
      </w:pPr>
    </w:p>
    <w:p>
      <w:pPr>
        <w:pStyle w:val="P27"/>
        <w:framePr w:w="3836" w:h="249" w:hRule="exact" w:wrap="none" w:vAnchor="page" w:hAnchor="margin" w:x="6859" w:y="11538"/>
        <w:rPr>
          <w:rStyle w:val="C20"/>
          <w:rtl w:val="0"/>
        </w:rPr>
      </w:pPr>
      <w:r>
        <w:rPr>
          <w:rStyle w:val="C20"/>
          <w:rtl w:val="0"/>
        </w:rPr>
        <w:t>Způsoby ověření</w:t>
      </w:r>
    </w:p>
    <w:p>
      <w:pPr>
        <w:pStyle w:val="P12"/>
        <w:framePr w:w="6710" w:h="376" w:hRule="exact" w:wrap="none" w:vAnchor="page" w:hAnchor="margin" w:x="45" w:y="11843"/>
        <w:rPr>
          <w:rStyle w:val="C3"/>
          <w:rtl w:val="0"/>
        </w:rPr>
      </w:pPr>
    </w:p>
    <w:p>
      <w:pPr>
        <w:pStyle w:val="P13"/>
        <w:framePr w:w="6658" w:h="249" w:hRule="exact" w:wrap="none" w:vAnchor="page" w:hAnchor="margin" w:x="71" w:y="11899"/>
        <w:rPr>
          <w:rStyle w:val="C11"/>
          <w:rtl w:val="0"/>
        </w:rPr>
      </w:pPr>
      <w:r>
        <w:rPr>
          <w:rStyle w:val="C11"/>
          <w:rtl w:val="0"/>
        </w:rPr>
        <w:t>a) Vysvětlit, které záznamy patří do prvotní evidence v chovech drůbeže</w:t>
      </w:r>
    </w:p>
    <w:p>
      <w:pPr>
        <w:pStyle w:val="P28"/>
        <w:framePr w:w="3921" w:h="376" w:hRule="exact" w:wrap="none" w:vAnchor="page" w:hAnchor="margin" w:x="6800" w:y="11843"/>
        <w:rPr>
          <w:rStyle w:val="C3"/>
          <w:rtl w:val="0"/>
        </w:rPr>
      </w:pPr>
    </w:p>
    <w:p>
      <w:pPr>
        <w:pStyle w:val="P29"/>
        <w:framePr w:w="3839" w:h="249" w:hRule="exact" w:wrap="none" w:vAnchor="page" w:hAnchor="margin" w:x="6856" w:y="11899"/>
        <w:rPr>
          <w:rStyle w:val="C21"/>
          <w:rtl w:val="0"/>
        </w:rPr>
      </w:pPr>
      <w:r>
        <w:rPr>
          <w:rStyle w:val="C21"/>
          <w:rtl w:val="0"/>
        </w:rPr>
        <w:t>Ústní ověření</w:t>
      </w:r>
    </w:p>
    <w:p>
      <w:pPr>
        <w:pStyle w:val="P16"/>
        <w:framePr w:w="6710" w:h="831" w:hRule="exact" w:wrap="none" w:vAnchor="page" w:hAnchor="margin" w:x="45" w:y="12220"/>
        <w:rPr>
          <w:rStyle w:val="C3"/>
          <w:rtl w:val="0"/>
        </w:rPr>
      </w:pPr>
    </w:p>
    <w:p>
      <w:pPr>
        <w:pStyle w:val="P17"/>
        <w:framePr w:w="6658" w:h="704" w:hRule="exact" w:wrap="none" w:vAnchor="page" w:hAnchor="margin" w:x="71" w:y="12276"/>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220"/>
        <w:rPr>
          <w:rStyle w:val="C3"/>
          <w:rtl w:val="0"/>
        </w:rPr>
      </w:pPr>
    </w:p>
    <w:p>
      <w:pPr>
        <w:pStyle w:val="P31"/>
        <w:framePr w:w="3839" w:h="704" w:hRule="exact" w:wrap="none" w:vAnchor="page" w:hAnchor="margin" w:x="6856" w:y="12276"/>
        <w:rPr>
          <w:rStyle w:val="C22"/>
          <w:rtl w:val="0"/>
        </w:rPr>
      </w:pPr>
      <w:r>
        <w:rPr>
          <w:rStyle w:val="C22"/>
          <w:rtl w:val="0"/>
        </w:rPr>
        <w:t>Praktické předvedení a ústní ověření</w:t>
      </w:r>
    </w:p>
    <w:p>
      <w:pPr>
        <w:pStyle w:val="P12"/>
        <w:framePr w:w="6710" w:h="1728" w:hRule="exact" w:wrap="none" w:vAnchor="page" w:hAnchor="margin" w:x="45" w:y="13051"/>
        <w:rPr>
          <w:rStyle w:val="C3"/>
          <w:rtl w:val="0"/>
        </w:rPr>
      </w:pPr>
    </w:p>
    <w:p>
      <w:pPr>
        <w:pStyle w:val="P13"/>
        <w:framePr w:w="6658" w:h="1601" w:hRule="exact" w:wrap="none" w:vAnchor="page" w:hAnchor="margin" w:x="71" w:y="13107"/>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w:t>
        <w:br w:type="textWrapping"/>
        <w:t>a jejich evidence a evidence hospodářství a osob stanovených plemenářským zákonem a specifikovat povinnosti chovatele ve vztahu k označování drůbeže (zejména běžců)</w:t>
      </w:r>
    </w:p>
    <w:p>
      <w:pPr>
        <w:pStyle w:val="P28"/>
        <w:framePr w:w="3921" w:h="1728" w:hRule="exact" w:wrap="none" w:vAnchor="page" w:hAnchor="margin" w:x="6800" w:y="13051"/>
        <w:rPr>
          <w:rStyle w:val="C3"/>
          <w:rtl w:val="0"/>
        </w:rPr>
      </w:pPr>
    </w:p>
    <w:p>
      <w:pPr>
        <w:pStyle w:val="P29"/>
        <w:framePr w:w="3839" w:h="1601"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4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požadavky pro chov nosnic v klasických klecích, obohacených klecových technologiích, ve voliérách, volně v halách a ve výbězích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Specifikovat požadavky pro výkrm kuřat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Specifikovat požadavky pro chov hus</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Specifikovat požadavky pro chov kachen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Specifikovat požadavky pro chov krůt</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Zkontrolovat funkčnost krmítek a napáječek v hale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mechanické čištění haly po vyskladnění drůbeže</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Praktické předvedení a ústní ověření</w:t>
      </w:r>
    </w:p>
    <w:p>
      <w:pPr>
        <w:pStyle w:val="P12"/>
        <w:framePr w:w="6710" w:h="376" w:hRule="exact" w:wrap="none" w:vAnchor="page" w:hAnchor="margin" w:x="45" w:y="9092"/>
        <w:rPr>
          <w:rStyle w:val="C3"/>
          <w:rtl w:val="0"/>
        </w:rPr>
      </w:pPr>
    </w:p>
    <w:p>
      <w:pPr>
        <w:pStyle w:val="P13"/>
        <w:framePr w:w="6658" w:h="249" w:hRule="exact" w:wrap="none" w:vAnchor="page" w:hAnchor="margin" w:x="71" w:y="9148"/>
        <w:rPr>
          <w:rStyle w:val="C11"/>
          <w:rtl w:val="0"/>
        </w:rPr>
      </w:pPr>
      <w:r>
        <w:rPr>
          <w:rStyle w:val="C11"/>
          <w:rtl w:val="0"/>
        </w:rPr>
        <w:t>m) Vysvětlit význam intenzity a barvy světla na chování drůbeže</w:t>
      </w:r>
    </w:p>
    <w:p>
      <w:pPr>
        <w:pStyle w:val="P28"/>
        <w:framePr w:w="3921" w:h="376" w:hRule="exact" w:wrap="none" w:vAnchor="page" w:hAnchor="margin" w:x="6800" w:y="9092"/>
        <w:rPr>
          <w:rStyle w:val="C3"/>
          <w:rtl w:val="0"/>
        </w:rPr>
      </w:pPr>
    </w:p>
    <w:p>
      <w:pPr>
        <w:pStyle w:val="P29"/>
        <w:framePr w:w="3839" w:h="249" w:hRule="exact" w:wrap="none" w:vAnchor="page" w:hAnchor="margin" w:x="6856" w:y="9148"/>
        <w:rPr>
          <w:rStyle w:val="C21"/>
          <w:rtl w:val="0"/>
        </w:rPr>
      </w:pPr>
      <w:r>
        <w:rPr>
          <w:rStyle w:val="C21"/>
          <w:rtl w:val="0"/>
        </w:rPr>
        <w:t>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Popsat způsoby svícení v hale, hodiny tmy, stmívání světla</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Posuzování výživy a organizace krmení drůbeže</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Popsat anatomii trávicí soustavy a fyziologii trávení drůbeže</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193"/>
        <w:rPr>
          <w:rStyle w:val="C3"/>
          <w:rtl w:val="0"/>
        </w:rPr>
      </w:pPr>
    </w:p>
    <w:p>
      <w:pPr>
        <w:pStyle w:val="P17"/>
        <w:framePr w:w="6658" w:h="480" w:hRule="exact" w:wrap="none" w:vAnchor="page" w:hAnchor="margin" w:x="71" w:y="12249"/>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2193"/>
        <w:rPr>
          <w:rStyle w:val="C3"/>
          <w:rtl w:val="0"/>
        </w:rPr>
      </w:pPr>
    </w:p>
    <w:p>
      <w:pPr>
        <w:pStyle w:val="P31"/>
        <w:framePr w:w="3839" w:h="480" w:hRule="exact" w:wrap="none" w:vAnchor="page" w:hAnchor="margin" w:x="6856" w:y="12249"/>
        <w:rPr>
          <w:rStyle w:val="C22"/>
          <w:rtl w:val="0"/>
        </w:rPr>
      </w:pPr>
      <w:r>
        <w:rPr>
          <w:rStyle w:val="C22"/>
          <w:rtl w:val="0"/>
        </w:rPr>
        <w:t>Písemné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w:t>
      </w:r>
    </w:p>
    <w:p>
      <w:pPr>
        <w:pStyle w:val="P16"/>
        <w:framePr w:w="6710" w:h="607" w:hRule="exact" w:wrap="none" w:vAnchor="page" w:hAnchor="margin" w:x="45" w:y="13406"/>
        <w:rPr>
          <w:rStyle w:val="C3"/>
          <w:rtl w:val="0"/>
        </w:rPr>
      </w:pPr>
    </w:p>
    <w:p>
      <w:pPr>
        <w:pStyle w:val="P17"/>
        <w:framePr w:w="6658" w:h="480" w:hRule="exact" w:wrap="none" w:vAnchor="page" w:hAnchor="margin" w:x="71" w:y="13462"/>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406"/>
        <w:rPr>
          <w:rStyle w:val="C3"/>
          <w:rtl w:val="0"/>
        </w:rPr>
      </w:pPr>
    </w:p>
    <w:p>
      <w:pPr>
        <w:pStyle w:val="P31"/>
        <w:framePr w:w="3839" w:h="480" w:hRule="exact" w:wrap="none" w:vAnchor="page" w:hAnchor="margin" w:x="6856" w:y="13462"/>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e) Předvést způsob správného nakrmení drůbeže ve volných chovech</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Praktické předvedení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f) Zajistit napájení pro drůbež ustájenou v hale</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Praktické předvedení</w:t>
      </w:r>
    </w:p>
    <w:p>
      <w:pPr>
        <w:pStyle w:val="P12"/>
        <w:framePr w:w="6710" w:h="607" w:hRule="exact" w:wrap="none" w:vAnchor="page" w:hAnchor="margin" w:x="45" w:y="14766"/>
        <w:rPr>
          <w:rStyle w:val="C3"/>
          <w:rtl w:val="0"/>
        </w:rPr>
      </w:pPr>
    </w:p>
    <w:p>
      <w:pPr>
        <w:pStyle w:val="P13"/>
        <w:framePr w:w="6658" w:h="480" w:hRule="exact" w:wrap="none" w:vAnchor="page" w:hAnchor="margin" w:x="71" w:y="14822"/>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766"/>
        <w:rPr>
          <w:rStyle w:val="C3"/>
          <w:rtl w:val="0"/>
        </w:rPr>
      </w:pPr>
    </w:p>
    <w:p>
      <w:pPr>
        <w:pStyle w:val="P29"/>
        <w:framePr w:w="3839" w:h="480" w:hRule="exact" w:wrap="none" w:vAnchor="page" w:hAnchor="margin" w:x="6856" w:y="14822"/>
        <w:rPr>
          <w:rStyle w:val="C21"/>
          <w:rtl w:val="0"/>
        </w:rPr>
      </w:pPr>
      <w:r>
        <w:rPr>
          <w:rStyle w:val="C21"/>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vysvětlit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Zkontrolovat (senzoricky)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podniku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první pomoc při způsobení úrazu nebo ohrožení zdraví</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http://katalog.nsp.cz/karta_tp.aspx?id_jp=6082&amp;kod_sm1=26).</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schopnosti uchazeče budou kompetence ověřovány nejen ve zkušební místnosti, ale také přímo v zemědělském podniku zaměřeném na chov drůbeže.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drůbeže v zemědělském podniku. Je třeba hodnotit přístup ke zvířatům a respektování zásad pohody zvířat. Podklady pro ověřování jednotlivých kompetencí budou brány z konkrétního podniku nebo vytvořeny pro vzorový podnik. Předvedení dovedností při posuzování potřeby odborného zásahu v chovu drůbeže budou ověřovány v konkrétních chovech.</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drůbeže v ČR" bude k dispozici minimálně 15 fotografií současných plemen a hybridů jednotlivých druhů drůbeže.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drůbeže" bude k dispozici počítač s připojením na internet.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péče o zdraví drůbeže",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provozní praxe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odborné praxe ve výzkumném ústavu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vysokoškolského učitele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středoškolského učitele odborných předmětů nebo praktického vyučování v oblasti chovu drůbeže,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zařízení pro třídění a balení vajec, líheň</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registr drůbeže v hospodářství, hlášení do ústřední evidence drůbeže, technologický postup pro vybraného hybrida </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 pro chov drůbeže, 13.6.2026 11:48:07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390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A7C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358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