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22743" Type="http://schemas.openxmlformats.org/officeDocument/2006/relationships/officeDocument" Target="/word/document.xml" /><Relationship Id="coreR60022743" Type="http://schemas.openxmlformats.org/package/2006/relationships/metadata/core-properties" Target="/docProps/core.xml" /><Relationship Id="customR60022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28.4.2026 23:08:57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77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FD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12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