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810095" Type="http://schemas.openxmlformats.org/officeDocument/2006/relationships/officeDocument" Target="/word/document.xml" /><Relationship Id="coreRE810095" Type="http://schemas.openxmlformats.org/package/2006/relationships/metadata/core-properties" Target="/docProps/core.xml" /><Relationship Id="customRE81009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 textilií na digitálních tiskacích strojích (kód: 31-058-H)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tiskařské práce a barev na digitálních tiskacích strojích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pro digitální tisk plošných textilií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pro fixaci tisku po digitálním tisku plošných textilií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4283" w:h="248" w:hRule="exact" w:wrap="none" w:vAnchor="page" w:hAnchor="margin" w:x="28" w:y="7315"/>
        <w:rPr>
          <w:rStyle w:val="C15"/>
          <w:rtl w:val="0"/>
        </w:rPr>
      </w:pPr>
      <w:r>
        <w:rPr>
          <w:rStyle w:val="C15"/>
          <w:rtl w:val="0"/>
        </w:rPr>
        <w:t>Standard je platný od: 14.10.2015 do: 15.03.2021</w:t>
      </w:r>
    </w:p>
    <w:p>
      <w:pPr>
        <w:pStyle w:val="P21"/>
        <w:framePr w:w="7654" w:h="331" w:hRule="exact" w:wrap="none" w:vAnchor="page" w:hAnchor="margin" w:x="28" w:y="15940"/>
        <w:rPr>
          <w:rStyle w:val="C16"/>
          <w:rtl w:val="0"/>
        </w:rPr>
      </w:pPr>
      <w:r>
        <w:rPr>
          <w:rStyle w:val="C16"/>
          <w:rtl w:val="0"/>
        </w:rPr>
        <w:t>Tiskař textilií na digitálních tiskacích strojích, 11.9.2026 19:22:08</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0577"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zadáno potisknout textilii na digitálním tiskacím stroji.</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za běžného provozu, při kterém s ohledem na charakter výroby jde o velké finanční hodnoty zpracovávaných materiálů, strojů a o kvalitu vyrobeného produktu. Aby se zamezilo finančním ztrátám, je žádoucí, aby uchazeč u každé prověřované odborné způsobilosti vykonával prakticky ty operace nebo pracovní úkony, viz kritéria hodnocení, které nezpůsobí finanční ztráty, tj. některé postupy simuluje, nebo některé pracovní úkony operací vykonává, pokud stroj není v chodu, nebo vykonává některé pracovní úkony operací pod dohledem řádné obsluhy, nebo vykonává pracovní úkony operací určené zkoušejícím a ostatní operace popíše nebo vysvětlí zkoušejícímu, nebo úkony operací vykonává paralelně nebo ve spolupráci s řádnou obsluhou strojů a zařízení.</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dostane komplexní úkol a bude vykonávat operace (pracovní úkony) náležející k odborným kompetencím, zkoušející bude sledovat plnění úkolu. Vzhledem k charakteru výroby je při ověřování kritérií založených na formě praktického předvedení třeba přihlížet především k bezpečnému provádění všech úkonů a ke kvalitě zhotoveného výrobku.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a zařízení v rozsahu hodnoticího standardu) a umožní uchazeči se s ním seznámit v předstihu před zkouškou.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ověření probíhá formou písemného testu. Testy vytváří autorizovaná osoba na základě pravidel stanovených v hodnoticím standardu. Test může být uchazečům zadán v elektronické podobě.</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pStyle w:val="P21"/>
        <w:framePr w:w="7654" w:h="331" w:hRule="exact" w:wrap="none" w:vAnchor="page" w:hAnchor="margin" w:x="28" w:y="15940"/>
        <w:rPr>
          <w:rStyle w:val="C16"/>
          <w:rtl w:val="0"/>
        </w:rPr>
      </w:pPr>
      <w:r>
        <w:rPr>
          <w:rStyle w:val="C16"/>
          <w:rtl w:val="0"/>
        </w:rPr>
        <w:t>Tiskař textilií na digitálních tiskacích strojích, 11.9.2026 19:22:08</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textilní, oděvní a kožedělný průmysl, ustavená a licencovaná pro tuto činnost HK ČR a SP ČR.</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MARTILA, s. r. o., Liberec</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SPŠT Liberec</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 textilií na digitálních tiskacích strojích, 11.9.2026 19:22:08</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