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FFEF1" Type="http://schemas.openxmlformats.org/officeDocument/2006/relationships/officeDocument" Target="/word/document.xml" /><Relationship Id="coreR7FFFEF1" Type="http://schemas.openxmlformats.org/package/2006/relationships/metadata/core-properties" Target="/docProps/core.xml" /><Relationship Id="customR7FFFE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strojích pro digitální potisk textilií, 27.10.2026 1:57:33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27.10.2026 1:57:33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27.10.2026 1:57:33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27.10.2026 1:57:33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Tiskař/tiskařka na strojích pro digitální potisk textilií, 27.10.2026 1:57:33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strojích pro digitální potisk textilií, 27.10.2026 1:57:33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Tiskař/tiskařka na strojích pro digitální potisk textilií a střední vzdělání s maturitní zkouškou a alespoň 5 let odborné praxe ve výrobě nebo zušlechťování textilií.</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strojích pro digitální potisk textilií, 27.10.2026 1:57:33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Tiskař/tiskařka na strojích pro digitální potisk textilií, 27.10.2026 1:57:33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strojích pro digitální potisk textilií, 27.10.2026 1:57:33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23A8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5228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