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D7F03F" Type="http://schemas.openxmlformats.org/officeDocument/2006/relationships/officeDocument" Target="/word/document.xml" /><Relationship Id="coreR6BD7F03F" Type="http://schemas.openxmlformats.org/package/2006/relationships/metadata/core-properties" Target="/docProps/core.xml" /><Relationship Id="customR6BD7F0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pro rostlinnou výrobu (kód: 41-098-M)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Sestavování strojních souprav pro rostlinnou výrobu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dokumentace o provozu zemědělské techniky v rostlinné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Zajišťování oprav a údržby, sledování spolehlivosti strojů a obnova strojního vybavení v rostlinné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26.04.2016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rostlinnou výrobu, 1.11.2026 0:50:35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řidičské oprávnění skupiny 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technické dokumentace, katalogů a dílenských příruček při provozu a opravách zemědělské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 v kritériu a) uchazeč bude pracovat s katalogem náhradních dílů určeného stroje rostlinné výroby.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ověřování jednotlivých kompetencí byly stanoveny tyto skupiny základních plodin: obiloviny, olejniny, okopaniny a pícniny.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činností. Základem jsou činnosti týkající se návrhů na sestavení strojních souprav, odborného vedení pracovníků a zajišťování údržby, oprav a obnovy strojního vybavení na úseku rostlinné výroby.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zvládání operací a k časovému hledisku zvládnutí operací.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rostlinnou výrobu, 1.11.2026 0:50:35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zemědělská škola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Zemědělský svaz České republiky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rostlinnou výrobu, 1.11.2026 0:50:35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