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256CEA" Type="http://schemas.openxmlformats.org/officeDocument/2006/relationships/officeDocument" Target="/word/document.xml" /><Relationship Id="coreR4F256CEA" Type="http://schemas.openxmlformats.org/package/2006/relationships/metadata/core-properties" Target="/docProps/core.xml" /><Relationship Id="customR4F256C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Zemědělský mechanizátor pro rostlinnou výrobu, 16.9.2026 20:02:00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speciální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mechanizační prostředky pro výživu a hnojení rostlin, aplikaci jednotlivých druhů statkových hnojiv a způsoby jejich uskladňování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Písemné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16.9.2026 20:02:00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Předvést v zadaných podmínkách rozdělení úkolů podřízeným pracovníkům, motivovat je a vyhodnotit provedené úkoly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dokumentace o provozu zemědělské techniky v rostlinné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Popsat evidenci skladování a spotřeby pohonných hmot</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Písemné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 xml:space="preserve">c) Popsat  evidenci skladování a spotřeby olejů a dalších provozních kapalin a maziv, uvést základní druhy olejů používaných v zemědělství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d) Vypracovat sledování a vyhodnocování provozních parametrů, potřeby náhradních dílů a ekonomiky provozu vozidel a strojů v konkrétních podmínkách</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e) Popsat nakládání s odpady, jako jsou použité oleje a maziva, akumulátory, použité čisticí prostředky v souladu s předpisy BOZP a ochrany životního prostředí</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Písemné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16.9.2026 20:02:00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a ukázat v zadaných podmínkách postup pravidelné údržby traktoru a jiného zadaného mechanizačního prostředku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547" w:hRule="exact" w:wrap="none" w:vAnchor="page" w:hAnchor="margin" w:x="28" w:y="79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8621"/>
        <w:rPr>
          <w:rStyle w:val="C3"/>
          <w:rtl w:val="0"/>
        </w:rPr>
      </w:pPr>
    </w:p>
    <w:p>
      <w:pPr>
        <w:pStyle w:val="P25"/>
        <w:framePr w:w="6661" w:h="249" w:hRule="exact" w:wrap="none" w:vAnchor="page" w:hAnchor="margin" w:x="71" w:y="8692"/>
        <w:rPr>
          <w:rStyle w:val="C19"/>
          <w:rtl w:val="0"/>
        </w:rPr>
      </w:pPr>
      <w:r>
        <w:rPr>
          <w:rStyle w:val="C19"/>
          <w:rtl w:val="0"/>
        </w:rPr>
        <w:t>Kritéria hodnocení</w:t>
      </w:r>
    </w:p>
    <w:p>
      <w:pPr>
        <w:pStyle w:val="P26"/>
        <w:framePr w:w="3918" w:h="376" w:hRule="exact" w:wrap="none" w:vAnchor="page" w:hAnchor="margin" w:x="6803" w:y="8621"/>
        <w:rPr>
          <w:rStyle w:val="C3"/>
          <w:rtl w:val="0"/>
        </w:rPr>
      </w:pPr>
    </w:p>
    <w:p>
      <w:pPr>
        <w:pStyle w:val="P27"/>
        <w:framePr w:w="3836" w:h="249" w:hRule="exact" w:wrap="none" w:vAnchor="page" w:hAnchor="margin" w:x="6859" w:y="8692"/>
        <w:rPr>
          <w:rStyle w:val="C20"/>
          <w:rtl w:val="0"/>
        </w:rPr>
      </w:pPr>
      <w:r>
        <w:rPr>
          <w:rStyle w:val="C20"/>
          <w:rtl w:val="0"/>
        </w:rPr>
        <w:t>Způsoby ověření</w:t>
      </w:r>
    </w:p>
    <w:p>
      <w:pPr>
        <w:pStyle w:val="P12"/>
        <w:framePr w:w="6710" w:h="607" w:hRule="exact" w:wrap="none" w:vAnchor="page" w:hAnchor="margin" w:x="45" w:y="8997"/>
        <w:rPr>
          <w:rStyle w:val="C3"/>
          <w:rtl w:val="0"/>
        </w:rPr>
      </w:pPr>
    </w:p>
    <w:p>
      <w:pPr>
        <w:pStyle w:val="P13"/>
        <w:framePr w:w="6658" w:h="480" w:hRule="exact" w:wrap="none" w:vAnchor="page" w:hAnchor="margin" w:x="71" w:y="9053"/>
        <w:rPr>
          <w:rStyle w:val="C11"/>
          <w:rtl w:val="0"/>
        </w:rPr>
      </w:pPr>
      <w:r>
        <w:rPr>
          <w:rStyle w:val="C11"/>
          <w:rtl w:val="0"/>
        </w:rPr>
        <w:t xml:space="preserve">a) Prokázat znalost základních právních předpisů týkajících se  BOZP a požární prevence při práci s mechanizačními prostředky</w:t>
      </w:r>
    </w:p>
    <w:p>
      <w:pPr>
        <w:pStyle w:val="P28"/>
        <w:framePr w:w="3921" w:h="607" w:hRule="exact" w:wrap="none" w:vAnchor="page" w:hAnchor="margin" w:x="6800" w:y="8997"/>
        <w:rPr>
          <w:rStyle w:val="C3"/>
          <w:rtl w:val="0"/>
        </w:rPr>
      </w:pPr>
    </w:p>
    <w:p>
      <w:pPr>
        <w:pStyle w:val="P29"/>
        <w:framePr w:w="3839" w:h="480" w:hRule="exact" w:wrap="none" w:vAnchor="page" w:hAnchor="margin" w:x="6856" w:y="9053"/>
        <w:rPr>
          <w:rStyle w:val="C21"/>
          <w:rtl w:val="0"/>
        </w:rPr>
      </w:pPr>
      <w:r>
        <w:rPr>
          <w:rStyle w:val="C21"/>
          <w:rtl w:val="0"/>
        </w:rPr>
        <w:t>Písemné ověření</w:t>
      </w:r>
    </w:p>
    <w:p>
      <w:pPr>
        <w:pStyle w:val="P16"/>
        <w:framePr w:w="6710" w:h="1055" w:hRule="exact" w:wrap="none" w:vAnchor="page" w:hAnchor="margin" w:x="45" w:y="9604"/>
        <w:rPr>
          <w:rStyle w:val="C3"/>
          <w:rtl w:val="0"/>
        </w:rPr>
      </w:pPr>
    </w:p>
    <w:p>
      <w:pPr>
        <w:pStyle w:val="P17"/>
        <w:framePr w:w="6658" w:h="928" w:hRule="exact" w:wrap="none" w:vAnchor="page" w:hAnchor="margin" w:x="71" w:y="96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9604"/>
        <w:rPr>
          <w:rStyle w:val="C3"/>
          <w:rtl w:val="0"/>
        </w:rPr>
      </w:pPr>
    </w:p>
    <w:p>
      <w:pPr>
        <w:pStyle w:val="P31"/>
        <w:framePr w:w="3839" w:h="928" w:hRule="exact" w:wrap="none" w:vAnchor="page" w:hAnchor="margin" w:x="6856" w:y="9660"/>
        <w:rPr>
          <w:rStyle w:val="C22"/>
          <w:rtl w:val="0"/>
        </w:rPr>
      </w:pPr>
      <w:r>
        <w:rPr>
          <w:rStyle w:val="C22"/>
          <w:rtl w:val="0"/>
        </w:rPr>
        <w:t>Ústní ověření</w:t>
      </w:r>
    </w:p>
    <w:p>
      <w:pPr>
        <w:pStyle w:val="P12"/>
        <w:framePr w:w="6710" w:h="607" w:hRule="exact" w:wrap="none" w:vAnchor="page" w:hAnchor="margin" w:x="45" w:y="10659"/>
        <w:rPr>
          <w:rStyle w:val="C3"/>
          <w:rtl w:val="0"/>
        </w:rPr>
      </w:pPr>
    </w:p>
    <w:p>
      <w:pPr>
        <w:pStyle w:val="P13"/>
        <w:framePr w:w="6658" w:h="480" w:hRule="exact" w:wrap="none" w:vAnchor="page" w:hAnchor="margin" w:x="71" w:y="1071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0659"/>
        <w:rPr>
          <w:rStyle w:val="C3"/>
          <w:rtl w:val="0"/>
        </w:rPr>
      </w:pPr>
    </w:p>
    <w:p>
      <w:pPr>
        <w:pStyle w:val="P29"/>
        <w:framePr w:w="3839" w:h="480" w:hRule="exact" w:wrap="none" w:vAnchor="page" w:hAnchor="margin" w:x="6856" w:y="10715"/>
        <w:rPr>
          <w:rStyle w:val="C21"/>
          <w:rtl w:val="0"/>
        </w:rPr>
      </w:pPr>
      <w:r>
        <w:rPr>
          <w:rStyle w:val="C21"/>
          <w:rtl w:val="0"/>
        </w:rPr>
        <w:t>Ústní ověření</w:t>
      </w:r>
    </w:p>
    <w:p>
      <w:pPr>
        <w:pStyle w:val="P16"/>
        <w:framePr w:w="6710" w:h="376" w:hRule="exact" w:wrap="none" w:vAnchor="page" w:hAnchor="margin" w:x="45" w:y="11266"/>
        <w:rPr>
          <w:rStyle w:val="C3"/>
          <w:rtl w:val="0"/>
        </w:rPr>
      </w:pPr>
    </w:p>
    <w:p>
      <w:pPr>
        <w:pStyle w:val="P17"/>
        <w:framePr w:w="6658" w:h="249" w:hRule="exact" w:wrap="none" w:vAnchor="page" w:hAnchor="margin" w:x="71" w:y="11322"/>
        <w:rPr>
          <w:rStyle w:val="C13"/>
          <w:rtl w:val="0"/>
        </w:rPr>
      </w:pPr>
      <w:r>
        <w:rPr>
          <w:rStyle w:val="C13"/>
          <w:rtl w:val="0"/>
        </w:rPr>
        <w:t>d) Popsat první pomoc při způsobení úrazu nebo ohrožení zdraví</w:t>
      </w:r>
    </w:p>
    <w:p>
      <w:pPr>
        <w:pStyle w:val="P30"/>
        <w:framePr w:w="3921" w:h="376" w:hRule="exact" w:wrap="none" w:vAnchor="page" w:hAnchor="margin" w:x="6800" w:y="11266"/>
        <w:rPr>
          <w:rStyle w:val="C3"/>
          <w:rtl w:val="0"/>
        </w:rPr>
      </w:pPr>
    </w:p>
    <w:p>
      <w:pPr>
        <w:pStyle w:val="P31"/>
        <w:framePr w:w="3839" w:h="249" w:hRule="exact" w:wrap="none" w:vAnchor="page" w:hAnchor="margin" w:x="6856" w:y="11322"/>
        <w:rPr>
          <w:rStyle w:val="C22"/>
          <w:rtl w:val="0"/>
        </w:rPr>
      </w:pPr>
      <w:r>
        <w:rPr>
          <w:rStyle w:val="C22"/>
          <w:rtl w:val="0"/>
        </w:rPr>
        <w:t>Ústní ověření</w:t>
      </w:r>
    </w:p>
    <w:p>
      <w:pPr>
        <w:pStyle w:val="P32"/>
        <w:framePr w:w="10710" w:h="248" w:hRule="exact" w:wrap="none" w:vAnchor="page" w:hAnchor="margin" w:x="28" w:y="11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16.9.2026 20:02:00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v kritériu a) uchazeč bude pracovat s katalogem náhradních dílů určeného stroje rostlinné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odborného vedení pracovníků a zajišťování údržby, oprav a obnovy strojního vybavení na úseku rostlinné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16.9.2026 20:02:01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a současně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s odpovědností za vedení úseku mechanizace ve výrobním zemědělském podniku nebo podniku zemědělských služeb, z toho minimálně jeden rok v období posledních dvou let před podáním žádosti o autorizaci.</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učitele praktického vyučování nebo odborného výcviku nebo odborných předmětů ve střední škole s oborem vzdělání zaměřeným na zemědělskou techniku, z toho minimálně jeden rok v období posledních dvou let před podáním žádosti o autorizaci.</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6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traktor, pluh, secí stroj, postřikovač, žací stroj, traktorový přívěs nebo návěs</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materiál pro technickou údržbu traktoru</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 vybavený výpočetní technikou - stolní počítač nebo notebook s přístupem na internet, záznamové archy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392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mechanizátor pro rostlinnou výrobu, 16.9.2026 20:02:01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rostlinnou výrobu, 16.9.2026 20:02:01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zemědělská škola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Zemědělský svaz České republiky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16.9.2026 20:02:01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9C9D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3826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30CE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