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7FF38" Type="http://schemas.openxmlformats.org/officeDocument/2006/relationships/officeDocument" Target="/word/document.xml" /><Relationship Id="coreR5407FF38" Type="http://schemas.openxmlformats.org/package/2006/relationships/metadata/core-properties" Target="/docProps/core.xml" /><Relationship Id="customR5407F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nabízeném zahradnickém a doplňkovém sortimentu zboží"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je možno využít i cibule a hlízy; u skupin rostlin, které nejsou k dispozici, fotografie. Při ověřování kritéria hodnocení g) se jedná o nabídku substrátů dle skupin rostlin (vřesovištní, růže, jehličnany, citrusy, balkonové rostliny, zelenina) nikoli o znalost obchodních názvů. Uchazeč musí charakterizovat předpokládané vlastnosti substrátů (pH, přibližný poměr živin, orientačně složení z jednotlivých komponentů) vzhledem k nárokům jednotlivých skupin rostlin a doporučit jejich využití.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b) u kompetence "Zajišťování optimálního prostředí pro rostliny nabízené k prodeji a jejich ošetřování" provede uchazeč identifikaci skupiny rostlin pro interiérové využití a následně je ošetří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"Poskytování kvalifikované poradenské činnosti zákazníkům" a "Orientace v nabízeném zahradnickém a doplňkovém sortimentu zboží"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dle aktuálního sortimentu v příslušném zahradním centru.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"Úprava a aranžování zboží v zahradním centru"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Zahradní centrum Chládek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Gardencentrum Adam,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