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35408" Type="http://schemas.openxmlformats.org/officeDocument/2006/relationships/officeDocument" Target="/word/document.xml" /><Relationship Id="coreR4AD35408" Type="http://schemas.openxmlformats.org/package/2006/relationships/metadata/core-properties" Target="/docProps/core.xml" /><Relationship Id="customR4AD354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jednotku práce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https://www.nsp.cz/jednotka-prace/zootechnik#zdravotni-zpusobilost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při vstupu do chovu splňovat požadavky veterinárních předpisů (zákon č. 166/1999 Sb. a vyhláška č. 342/2012 Sb.) a obecně platných pravidel zoohygieny.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ovcí a koz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úkoly prostřednictvím souboru fotografií současných plemen ovcí a koz v počtu minimálně 15 ks.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a organizace krmení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bude uchazeč v kritériu a) věnovat výživě a krmení jednotlivých kategorií zvířat (mladá, březí, v laktaci, plemenná zvířata).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zadání prostřednictvím počítače s připojením na internet.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a), c) d) bude uchazeč řešit problematiku zdraví pro jednotlivé kategorie zvířat (mladá, březí, v laktaci, plemenná zvířata).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zkoušejícím.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