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6B41C" Type="http://schemas.openxmlformats.org/officeDocument/2006/relationships/officeDocument" Target="/word/document.xml" /><Relationship Id="coreR5CE6B41C" Type="http://schemas.openxmlformats.org/package/2006/relationships/metadata/core-properties" Target="/docProps/core.xml" /><Relationship Id="customR5CE6B4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okopanin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okopanin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okopanin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okopaninách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okopanin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okopanin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29.10.2026 0:51:38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okopanin v zemědělském závodu. Podklady pro ověřování jednotlivých kompetencí budou vycházet z podmínek konkrétního zemědělského závodu.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pěstování následujících druhů okopanin: brambory, řepa cukrová, krmná řepa.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okopanin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bude uchazeč určovat minimálně 2 vzorky semen okopanin a minimálně 3 vzorky rostlin okopanin.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okopaninách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seznam registrovaných přípravků a dalších prostředků na ochranu rostlin, platný pro aktuální rok. Uchazeč bude určovat plevele, choroby a škůdce: minimálně 5 vzorků plevelů v různých vývojových stádiích, 2 vzorky rostlin napadených chorobami a 2 vzorky napadené škůdci. U kritéria b) bude zadávání pokynu k provedení konkrétního zásahu v porostu v podobě modelové situace.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okopanin, Návrh technologického postupu pěstování okopanin, Vedení provozní dokumentace v rostlinné výrobě, Zjišťování ekonomických ukazatelů pěstování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zadaném pozemku s jednou z výše uvedených plodin.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agrotechnické lhůty se zkouška koná ve druhém nebo třetím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29.10.2026 0:51:38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29.10.2026 0:51:38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