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A5DBB" Type="http://schemas.openxmlformats.org/officeDocument/2006/relationships/officeDocument" Target="/word/document.xml" /><Relationship Id="coreR54FA5DBB" Type="http://schemas.openxmlformats.org/package/2006/relationships/metadata/core-properties" Target="/docProps/core.xml" /><Relationship Id="customR54FA5D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9:11:00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konkrétní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obhajoby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 odborné kompetenci Orientace v kompozitních materiálech, jejich druzích a v základních technologiích pro práci s nimi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9:11:00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Synpo,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9:11:00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