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C4EB5" Type="http://schemas.openxmlformats.org/officeDocument/2006/relationships/officeDocument" Target="/word/document.xml" /><Relationship Id="coreR6DC4EB5" Type="http://schemas.openxmlformats.org/package/2006/relationships/metadata/core-properties" Target="/docProps/core.xml" /><Relationship Id="customR6DC4EB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Chemický technik pro kompozitní materiály (kód: 28-085-M)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druzích a technologiích výroby a zpracování kompozitních materiálů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Práce s normami a pracovními instrukcemi pro obsluhu a řízení chemických a technologických procesů výroby kompozitních materiálů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při výrobě kompozitních materiálů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Posuzování hodnot a parametrů při obsluze a řízení technologických procesů výroby kompozitních materiálů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Vyplňování a vedení předepsané výrobní a provozní dokumentace obsluhy a řízení technologických procesů výroby kompozitních materiálů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Volba technologických podmínek a parametrů pro obsluhu a řízení technologických procesů výroby kompozitních materiálů</w:t>
      </w:r>
    </w:p>
    <w:p>
      <w:pPr>
        <w:pStyle w:val="P18"/>
        <w:framePr w:w="805" w:h="607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79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855"/>
        <w:rPr>
          <w:rStyle w:val="C11"/>
          <w:rtl w:val="0"/>
        </w:rPr>
      </w:pPr>
      <w:r>
        <w:rPr>
          <w:rStyle w:val="C11"/>
          <w:rtl w:val="0"/>
        </w:rPr>
        <w:t>Analýza příčin odchylek ve výrobě kompozitních materiálů a navrhování opatření na jejich eliminaci či odstranění</w:t>
      </w:r>
    </w:p>
    <w:p>
      <w:pPr>
        <w:pStyle w:val="P14"/>
        <w:framePr w:w="805" w:h="376" w:hRule="exact" w:wrap="none" w:vAnchor="page" w:hAnchor="margin" w:x="9916" w:y="879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85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917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232"/>
        <w:rPr>
          <w:rStyle w:val="C13"/>
          <w:rtl w:val="0"/>
        </w:rPr>
      </w:pPr>
      <w:r>
        <w:rPr>
          <w:rStyle w:val="C13"/>
          <w:rtl w:val="0"/>
        </w:rPr>
        <w:t>Řízení jednoduchých nebo opakujících se technologických procesů a pracovních postupů ve výrobě kompozitních materiálů</w:t>
      </w:r>
    </w:p>
    <w:p>
      <w:pPr>
        <w:pStyle w:val="P18"/>
        <w:framePr w:w="805" w:h="607" w:hRule="exact" w:wrap="none" w:vAnchor="page" w:hAnchor="margin" w:x="9916" w:y="917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23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0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49"/>
        <w:rPr>
          <w:rStyle w:val="C15"/>
          <w:rtl w:val="0"/>
        </w:rPr>
      </w:pPr>
      <w:r>
        <w:rPr>
          <w:rStyle w:val="C15"/>
          <w:rtl w:val="0"/>
        </w:rPr>
        <w:t>Standard je platný od: 26.04.2016 do: 18.10.2021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pro kompozitní materiály, 29.10.2026 9:11:01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4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http://katalog.nsp.cz/karta_p.aspx?id_jp=30976&amp;kod_sm1=34).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představuje komplex činností zahrnujících orientaci v dokumentech potřebných pro obsluhu a řízení chemicko-technologických procesů výroby kompozitů v konkrétní firmě, interpretaci údajů v nich uvedených, přípravu vstupů a manipulaci s kompozitními materiály.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každého uchazeče o zkoušku připraví autorizovaná osoba konkerétní zadání zkoušky s ukázkou provozně-technické dokumentace (bezpečnostní listy, pracovní instrukce, provozní předpisy, formuláře). Součástí zadání je i příslušné laboratorní vybavení, chemické látky vč. bezpečnostních listů a zařízení pro realizaci zkoušky.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 způsobem ověření „Praktické předvedení a ústní ověření“ se požaduje stručné slovní doplnění předvedené činnosti ve smyslu vysvětlení nebo obhajoby zvoleného postupu či řešení; je třeba přihlížet k bezpečnému provádění všech pracovních úkonů a dodržování zásad bezpečné práce. 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kritéria a) v odborné kompetenci Orientace v druzích a technologiích výroby a zpracování kompozitních materiálů se požaduje stručné slovní doplnění písemně zpracovaného úkolu, zadání, ve smyslu doplnění informací nebo doplnění vysvětlení.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pro kompozitní materiály, 29.10.2026 9:11:01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Synthesia,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Univerzita Pardubice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Synpo, a .s.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pro kompozitní materiály, 29.10.2026 9:11:01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