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665AA5" Type="http://schemas.openxmlformats.org/officeDocument/2006/relationships/officeDocument" Target="/word/document.xml" /><Relationship Id="coreR71665AA5" Type="http://schemas.openxmlformats.org/package/2006/relationships/metadata/core-properties" Target="/docProps/core.xml" /><Relationship Id="customR71665A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animovaného audiovizuálního díla (kód: 82-031-R)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využívaných při výrobě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výroby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výroby animovaného filmu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řízení výroby animovaného filmu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29.11.2016</w:t>
      </w:r>
    </w:p>
    <w:p>
      <w:pPr>
        <w:pStyle w:val="P21"/>
        <w:framePr w:w="7654" w:h="331" w:hRule="exact" w:wrap="none" w:vAnchor="page" w:hAnchor="margin" w:x="28" w:y="15940"/>
        <w:rPr>
          <w:rStyle w:val="C16"/>
          <w:rtl w:val="0"/>
        </w:rPr>
      </w:pPr>
      <w:r>
        <w:rPr>
          <w:rStyle w:val="C16"/>
          <w:rtl w:val="0"/>
        </w:rPr>
        <w:t>Produkční animovaného audiovizuálního díla, 30.7.2026 4:02:31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různých typů výroby animovaného filmu (loutka, ploška, 2D kreslená animace, 3D animace)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technologické postupy obrazové a zvukové postprodukce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právních předpisech využívaných při výrobě animovaného filmu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055" w:hRule="exact" w:wrap="none" w:vAnchor="page" w:hAnchor="margin" w:x="45" w:y="6106"/>
        <w:rPr>
          <w:rStyle w:val="C3"/>
          <w:rtl w:val="0"/>
        </w:rPr>
      </w:pPr>
    </w:p>
    <w:p>
      <w:pPr>
        <w:pStyle w:val="P13"/>
        <w:framePr w:w="6658" w:h="928" w:hRule="exact" w:wrap="none" w:vAnchor="page" w:hAnchor="margin" w:x="71" w:y="6162"/>
        <w:rPr>
          <w:rStyle w:val="C11"/>
          <w:rtl w:val="0"/>
        </w:rPr>
      </w:pPr>
      <w:r>
        <w:rPr>
          <w:rStyle w:val="C11"/>
          <w:rtl w:val="0"/>
        </w:rPr>
        <w:t>a) Orientovat se v oblasti autorského zákona (zákon č. 121/2000 Sb., v platném znění) ve vztahu k výrobě audiovizuálního díla (definice autorského díla, náležitosti licenční smlouvy, význam a působnost kolektivních správců práv)</w:t>
      </w:r>
    </w:p>
    <w:p>
      <w:pPr>
        <w:pStyle w:val="P28"/>
        <w:framePr w:w="3921" w:h="1055" w:hRule="exact" w:wrap="none" w:vAnchor="page" w:hAnchor="margin" w:x="6800" w:y="6106"/>
        <w:rPr>
          <w:rStyle w:val="C3"/>
          <w:rtl w:val="0"/>
        </w:rPr>
      </w:pPr>
    </w:p>
    <w:p>
      <w:pPr>
        <w:pStyle w:val="P29"/>
        <w:framePr w:w="3839" w:h="928" w:hRule="exact" w:wrap="none" w:vAnchor="page" w:hAnchor="margin" w:x="6856" w:y="6162"/>
        <w:rPr>
          <w:rStyle w:val="C21"/>
          <w:rtl w:val="0"/>
        </w:rPr>
      </w:pPr>
      <w:r>
        <w:rPr>
          <w:rStyle w:val="C21"/>
          <w:rtl w:val="0"/>
        </w:rPr>
        <w:t>Ústní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Orientovat se v zákoníku práce (zákon č. 262/2006 Sb., v platném znění) zejména v části upravující pracovní poměr, pracovní dobu, bezpečnost a ochranu zdraví při práci, odměňování za práci</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Orientovat se v novém občanském zákoníku (zákon č. 89/2012 Sb., v platném znění) zejména v oblasti vztahující se k tvorbě díla (§ 2586–2635)</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d) Orientovat se v oblasti daně z přidané hodnoty a zdanění fyzických osob ve vztahu k autorské odměně</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Řízení výroby animovaného filmu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Navrhnout klíčové etapy a milníky projektu a plán způsobu jejich dosažení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Připravit časový harmonogram výroby projektu dle zadání v počítačovém tabulkovém procesoru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Navrhnout na základě stanovených cílů a rozsahu projektu typ a objem materiálových a pracovních (lidských) zdrojů potřebných ke splnění kreativních a technických požadavků projektu</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d) Připravit analýzu rizik projektu. Identifikovat rizika, pravděpodobnost vzniku a způsob jejich eliminace a řešení v případě, že nastanou</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e) Navrhnout způsob monitorování aktivit, činností a vývoje projektu s cílem identifikovat odchylky od plánu z věcného, kvalitativního a časového hlediska</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f) Navrhnout způsob komunikace, odsouhlasení a zapracování změn projektu oproti původně schválenému plánu (zadání) se všemi relevantními osobami (klient, producent, režisér atd.)</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animovaného audiovizuálního díla, 30.7.2026 4:02:31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výroby animovaného filmu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rozpočtu projektu dle zadání v počítačovém tabulkovém procesoru, a to včetně plánu cash-flow</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základních účetních dokladů (faktura přijatá od dodavatele, faktura vystavená, pokladní doklad)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Personální řízení výroby animovaného filmu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složení výrobního týmu projektu, včetně rozdělení úkolů a jednotlivých činností mezi jeho členy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pro příslušné profese smluvní podmínky (vybrat příslušný typ vhodné smlouvy)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způsob komunikace mezi jednotlivými členy výrobního týmu (telefonická, písemná, elektronická, osobní jednání)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animovaného audiovizuálního díla, 30.7.2026 4:02:31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doklad o znalosti anglického jazyka odpovídající nejméně deskriptoru B2 dle Společného evropského referenčního rámce pro jazyky.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modelový projekt pro oveření kritérií dle tohoto standardu, a to v termínu nejpozději 15 pracovních dní před termínem zkoušky. Modelovým projektem se rozumí výroba animovaného filmu seriálového typu, který obsahuje základní informace:</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•stopáž 7x10 min.</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•počet figur</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•prostředí (počet scén)</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pojetí formou reference</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technologie animace</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nejpozději 5 pracovních dní před termínem zkoušky zpracovaný projekt podle kompetencí:</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výroby animovaného filmu</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řízení výroby animovaného filmu (s výjimkou kritéria hodnocení b) u kompetence Finanční řízení výroby animovaného filmu 4b)</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řízení výroby animovaného filmu</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Zpracovaný projekt bude doručen na adresu autorizované osoby 1x v tištěné podobě a zároveň elektronicky. Při zkoušce probíhá prezentace zpracovaného projektu formou obhajoby.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pro kritéria kompetence Orientace v právních předpisech využívaných při výrobě animovaného filmu pro kritérium b) minimálně 20 otázek a pro kritérium c) a d) minimálně 10 otázek.</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Pravidla pro aplikaci ústního ověřování formou vylosováných otázek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podmínky:</w:t>
      </w:r>
    </w:p>
    <w:p>
      <w:pPr>
        <w:keepNext w:val="0"/>
        <w:keepLines w:val="1"/>
        <w:framePr w:w="10766" w:h="929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celkový soubor otázek: každé kritérium je zohledněno v několika otázkách</w:t>
      </w:r>
    </w:p>
    <w:p>
      <w:pPr>
        <w:keepNext w:val="0"/>
        <w:keepLines w:val="1"/>
        <w:framePr w:w="10766" w:h="929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každý uchazeč musí mít v souboru svých vylosovaných otázek zohledněno alespoň jednou každé kritérium (myslí se kritérium, u něhož jsou losované otázky způsobem ověření a v návaznosti na pokyn, která kritéria je třeba u zkoušky splnit)</w:t>
      </w:r>
    </w:p>
    <w:p>
      <w:pPr>
        <w:pStyle w:val="P33"/>
        <w:framePr w:w="10766" w:h="1837"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Výsledné hodnocení</w:t>
      </w:r>
    </w:p>
    <w:p>
      <w:pPr>
        <w:keepNext w:val="0"/>
        <w:keepLines w:val="0"/>
        <w:framePr w:w="10766" w:h="1497" w:hRule="exact" w:wrap="none" w:vAnchor="page" w:hAnchor="margin" w:x="0" w:y="12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18"/>
        <w:rPr>
          <w:rStyle w:val="C3"/>
          <w:rtl w:val="0"/>
        </w:rPr>
      </w:pPr>
    </w:p>
    <w:p>
      <w:pPr>
        <w:pStyle w:val="P35"/>
        <w:framePr w:w="10710" w:h="340" w:hRule="exact" w:wrap="none" w:vAnchor="page" w:hAnchor="margin" w:x="28" w:y="14418"/>
        <w:rPr>
          <w:rStyle w:val="C25"/>
          <w:rtl w:val="0"/>
        </w:rPr>
      </w:pPr>
      <w:r>
        <w:rPr>
          <w:rStyle w:val="C25"/>
          <w:rtl w:val="0"/>
        </w:rPr>
        <w:t>Počet zkoušejících</w:t>
      </w:r>
    </w:p>
    <w:p>
      <w:pPr>
        <w:keepNext w:val="0"/>
        <w:keepLines w:val="0"/>
        <w:framePr w:w="10766" w:h="1036" w:hRule="exact" w:wrap="none" w:vAnchor="page" w:hAnchor="margin" w:x="0" w:y="14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Produkční animovaného audiovizuálního díla, 30.7.2026 4:02:31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řídicích pozicích v oblasti audiovizuální výroby, z toho minimálně jeden rok v období posledních dvou let před podáním žádosti o udělení autorizace.</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multimediální tvorbu a alespoň 5 let odborné praxe v řídicích pozicích v oblasti audiovizuální výroby, z toho minimálně jeden rok v období posledních dvou let před podáním žádosti o udělení autorizace.</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ekonomickou oblast nebo produkci audiovizuálních děl a alespoň 5 let odborné praxe v řídicích pozicích v oblasti audiovizuální výroby, z toho minimálně jeden rok v období posledních dvou let před podáním žádosti o udělení autorizace.</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071" w:hRule="exact" w:wrap="none" w:vAnchor="page" w:hAnchor="margin" w:x="0" w:y="10315"/>
        <w:rPr>
          <w:rStyle w:val="C3"/>
          <w:rtl w:val="0"/>
        </w:rPr>
      </w:pPr>
    </w:p>
    <w:p>
      <w:pPr>
        <w:pStyle w:val="P35"/>
        <w:framePr w:w="10710" w:h="340" w:hRule="exact" w:wrap="none" w:vAnchor="page" w:hAnchor="margin" w:x="28" w:y="1031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procesorem</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účetních dokladů (faktura, dodací list, pokladní doklad)</w:t>
      </w:r>
    </w:p>
    <w:p>
      <w:pPr>
        <w:keepNext w:val="0"/>
        <w:keepLines w:val="0"/>
        <w:framePr w:w="10766" w:h="2731" w:hRule="exact" w:wrap="none" w:vAnchor="page" w:hAnchor="margin" w:x="0" w:y="10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Doba přípravy na zkoušku</w:t>
      </w:r>
    </w:p>
    <w:p>
      <w:pPr>
        <w:keepNext w:val="0"/>
        <w:keepLines w:val="0"/>
        <w:framePr w:w="10766" w:h="1036"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Produkční animovaného audiovizuálního díla, 30.7.2026 4:02:31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Produkční animovaného audiovizuálního díla, 30.7.2026 4:02:31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Dagmar Juráková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Produkční animovaného audiovizuálního díla, 30.7.2026 4:02:31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E0DF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F53E4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C734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5C9D93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B641BA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