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8A328" Type="http://schemas.openxmlformats.org/officeDocument/2006/relationships/officeDocument" Target="/word/document.xml" /><Relationship Id="coreR2408A328" Type="http://schemas.openxmlformats.org/package/2006/relationships/metadata/core-properties" Target="/docProps/core.xml" /><Relationship Id="customR2408A3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závlahových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závlah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závlahových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27.10.2026 2:46:19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V rámci přípravy na zkoušku může uchazeč nahlédnout do příslušných zákonů, vyhlášek a norem.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připravené alespoň dvě varianty podkladů a příkladů pro přezkoušení, z nichž vybere jednu.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k) zkouší autorizovaná osoba uchazeče prakticky s použitím projektové dokumentace závlahové stavby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zkouší autorizovaná osoba uchazeče prakticky s použitím "Projektové dokumentace" (PD).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- zkouší autorizovaná osoba uchazeče prakticky s použitím "Územně plánovací dokumentace" (ÚPD). Kritérium e) - zkouší autorizovaná osoba uchazeče prakticky s použitím projektu "Komplexní pozemková úprava" (KPÚ).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křivku, kritérium d) AOs připravá zadání pro výpočet vláhové potřeby rostlin.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c), d) a g) - zkouší autorizovaná osoba uchazeče prakticky s použitím "Projektové dokumentace" (PD), a přímo na vybraném zavlažovaném pozemku.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27.10.2026 2:46:19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27.10.2026 2:46:19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