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E7282" Type="http://schemas.openxmlformats.org/officeDocument/2006/relationships/officeDocument" Target="/word/document.xml" /><Relationship Id="coreR30CE7282" Type="http://schemas.openxmlformats.org/package/2006/relationships/metadata/core-properties" Target="/docProps/core.xml" /><Relationship Id="customR30CE72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metod merchandisingu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Využítí merchandisingu v obchodě, ve sportu a v médiích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Aplikování  merchandisingu  při vystavování zboží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doplňkových aktivit merchandisingu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Specialista pro merchandising, 1.5.2026 12:58:05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na výpočetní technice při spouštění software plánogramu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na internetovém vyhledavači při vyhledávání modelových řešení regálového uložení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obsluhu technického a softwarového vybavení oddělení merchandisingu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Vytvořit plánogram části obchodní jednotky - ručně/s použitím příslušného software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 xml:space="preserve"> Je třeba splnit všechna kritéria.</w:t>
      </w:r>
    </w:p>
    <w:p>
      <w:pPr>
        <w:pStyle w:val="P23"/>
        <w:framePr w:w="10710" w:h="340" w:hRule="exact" w:wrap="none" w:vAnchor="page" w:hAnchor="margin" w:x="28" w:y="6504"/>
        <w:rPr>
          <w:rStyle w:val="C18"/>
          <w:rtl w:val="0"/>
        </w:rPr>
      </w:pPr>
      <w:r>
        <w:rPr>
          <w:rStyle w:val="C18"/>
          <w:rtl w:val="0"/>
        </w:rPr>
        <w:t>Orientace v příslušné obchodní legislativě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Uvést zdroje přístupu k potřebné platné oborové legislativě</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Uvést zásady hodnocení kvality dodávek výrobků a dodavatelů - EMS</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Uvést základní zásady BOZP a PO pro uskladnění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Popsat zásady metody kritických bodů - HACCP</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 katalogu výrobků a zboží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Popsat základní certifikační normu jakosti vybraného výrobku a požadavky na jeho skladování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d) Popsat metody komunikace s obchodním partnerem</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Sestavit nabídku podle druhů zboží a sortimentu na základě požadavků zákazníka</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1.5.2026 12:58:05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pojem "merchandising"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výraz "senzorický merchandising"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výraz "face-out merchandising"</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výraz "cross-merchandising"</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výraz "vertikální merchandising"</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výraz "pinball effect"</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výraz "bumerangový efekt"</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Vysvětlit výraz "problém zadní části obchodu"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Písemné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Specifikovat merchandising orientovaný na starší lidi</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Písemné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Specifikovat merchandising orientovaný na děti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Písemné a ústní ověření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Využítí merchandisingu v obchodě, ve sportu a v médiích</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Popsat využítí metod merchandisingu v obchodě</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Písemné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Popsat využítí merchandisingu ve sportu</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Písemné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Popsat využití merchandisingu v médiích</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Písemné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d) Popsat vztah mediálního a sportovního merchandisingu k maloobchodu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Písemné a ústní ověření</w:t>
      </w:r>
    </w:p>
    <w:p>
      <w:pPr>
        <w:pStyle w:val="P12"/>
        <w:framePr w:w="6710" w:h="607" w:hRule="exact" w:wrap="none" w:vAnchor="page" w:hAnchor="margin" w:x="45" w:y="9602"/>
        <w:rPr>
          <w:rStyle w:val="C3"/>
          <w:rtl w:val="0"/>
        </w:rPr>
      </w:pPr>
    </w:p>
    <w:p>
      <w:pPr>
        <w:pStyle w:val="P13"/>
        <w:framePr w:w="6658" w:h="480" w:hRule="exact" w:wrap="none" w:vAnchor="page" w:hAnchor="margin" w:x="71" w:y="9658"/>
        <w:rPr>
          <w:rStyle w:val="C11"/>
          <w:rtl w:val="0"/>
        </w:rPr>
      </w:pPr>
      <w:r>
        <w:rPr>
          <w:rStyle w:val="C11"/>
          <w:rtl w:val="0"/>
        </w:rPr>
        <w:t xml:space="preserve">e) Popsat význam  mediálního a sportovního merchandisingu pro maloobchod</w:t>
      </w:r>
    </w:p>
    <w:p>
      <w:pPr>
        <w:pStyle w:val="P28"/>
        <w:framePr w:w="3921" w:h="607" w:hRule="exact" w:wrap="none" w:vAnchor="page" w:hAnchor="margin" w:x="6800" w:y="9602"/>
        <w:rPr>
          <w:rStyle w:val="C3"/>
          <w:rtl w:val="0"/>
        </w:rPr>
      </w:pPr>
    </w:p>
    <w:p>
      <w:pPr>
        <w:pStyle w:val="P29"/>
        <w:framePr w:w="3839" w:h="480" w:hRule="exact" w:wrap="none" w:vAnchor="page" w:hAnchor="margin" w:x="6856" w:y="9658"/>
        <w:rPr>
          <w:rStyle w:val="C21"/>
          <w:rtl w:val="0"/>
        </w:rPr>
      </w:pPr>
      <w:r>
        <w:rPr>
          <w:rStyle w:val="C21"/>
          <w:rtl w:val="0"/>
        </w:rPr>
        <w:t>Písemné a 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 xml:space="preserve">Aplikování  merchandisingu  při vystavování zboží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Popsat druhy výstavních míst</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Písemné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Předvést základní pravidlo FEFO (First Expired, First Out) při ukládání zboží do regálu</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Popsat využítí listingu při doplňování zboží</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Písemné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Popsat tvorbu a využití plánogramu při doplňování zboží</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Písemné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eliminaci "stockoutu" (výpadku zboží) na prodejní ploše</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Písemné a ústní ověření</w:t>
      </w:r>
    </w:p>
    <w:p>
      <w:pPr>
        <w:pStyle w:val="P16"/>
        <w:framePr w:w="6710" w:h="607" w:hRule="exact" w:wrap="none" w:vAnchor="page" w:hAnchor="margin" w:x="45" w:y="13685"/>
        <w:rPr>
          <w:rStyle w:val="C3"/>
          <w:rtl w:val="0"/>
        </w:rPr>
      </w:pPr>
    </w:p>
    <w:p>
      <w:pPr>
        <w:pStyle w:val="P17"/>
        <w:framePr w:w="6658" w:h="480" w:hRule="exact" w:wrap="none" w:vAnchor="page" w:hAnchor="margin" w:x="71" w:y="13741"/>
        <w:rPr>
          <w:rStyle w:val="C13"/>
          <w:rtl w:val="0"/>
        </w:rPr>
      </w:pPr>
      <w:r>
        <w:rPr>
          <w:rStyle w:val="C13"/>
          <w:rtl w:val="0"/>
        </w:rPr>
        <w:t>f) Popsat způsoby zajištění druhotných vystavení ( tzv. secondery placement a displaye)</w:t>
      </w:r>
    </w:p>
    <w:p>
      <w:pPr>
        <w:pStyle w:val="P30"/>
        <w:framePr w:w="3921" w:h="607" w:hRule="exact" w:wrap="none" w:vAnchor="page" w:hAnchor="margin" w:x="6800" w:y="13685"/>
        <w:rPr>
          <w:rStyle w:val="C3"/>
          <w:rtl w:val="0"/>
        </w:rPr>
      </w:pPr>
    </w:p>
    <w:p>
      <w:pPr>
        <w:pStyle w:val="P31"/>
        <w:framePr w:w="3839" w:h="480" w:hRule="exact" w:wrap="none" w:vAnchor="page" w:hAnchor="margin" w:x="6856" w:y="13741"/>
        <w:rPr>
          <w:rStyle w:val="C22"/>
          <w:rtl w:val="0"/>
        </w:rPr>
      </w:pPr>
      <w:r>
        <w:rPr>
          <w:rStyle w:val="C22"/>
          <w:rtl w:val="0"/>
        </w:rPr>
        <w:t>Písemné a ústní ověření</w:t>
      </w:r>
    </w:p>
    <w:p>
      <w:pPr>
        <w:pStyle w:val="P12"/>
        <w:framePr w:w="6710" w:h="376" w:hRule="exact" w:wrap="none" w:vAnchor="page" w:hAnchor="margin" w:x="45" w:y="14292"/>
        <w:rPr>
          <w:rStyle w:val="C3"/>
          <w:rtl w:val="0"/>
        </w:rPr>
      </w:pPr>
    </w:p>
    <w:p>
      <w:pPr>
        <w:pStyle w:val="P13"/>
        <w:framePr w:w="6658" w:h="249" w:hRule="exact" w:wrap="none" w:vAnchor="page" w:hAnchor="margin" w:x="71" w:y="14348"/>
        <w:rPr>
          <w:rStyle w:val="C11"/>
          <w:rtl w:val="0"/>
        </w:rPr>
      </w:pPr>
      <w:r>
        <w:rPr>
          <w:rStyle w:val="C11"/>
          <w:rtl w:val="0"/>
        </w:rPr>
        <w:t>g) Popsat způsoby remodelingu v návaznosti na změny plánogramů</w:t>
      </w:r>
    </w:p>
    <w:p>
      <w:pPr>
        <w:pStyle w:val="P28"/>
        <w:framePr w:w="3921" w:h="376" w:hRule="exact" w:wrap="none" w:vAnchor="page" w:hAnchor="margin" w:x="6800" w:y="14292"/>
        <w:rPr>
          <w:rStyle w:val="C3"/>
          <w:rtl w:val="0"/>
        </w:rPr>
      </w:pPr>
    </w:p>
    <w:p>
      <w:pPr>
        <w:pStyle w:val="P29"/>
        <w:framePr w:w="3839" w:h="249" w:hRule="exact" w:wrap="none" w:vAnchor="page" w:hAnchor="margin" w:x="6856" w:y="14348"/>
        <w:rPr>
          <w:rStyle w:val="C21"/>
          <w:rtl w:val="0"/>
        </w:rPr>
      </w:pPr>
      <w:r>
        <w:rPr>
          <w:rStyle w:val="C21"/>
          <w:rtl w:val="0"/>
        </w:rPr>
        <w:t>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h) Popsat pojmy denzita a přístupnost výstavního místa</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Písemné a ústní ověření</w:t>
      </w:r>
    </w:p>
    <w:p>
      <w:pPr>
        <w:pStyle w:val="P12"/>
        <w:framePr w:w="6710" w:h="376" w:hRule="exact" w:wrap="none" w:vAnchor="page" w:hAnchor="margin" w:x="45" w:y="15044"/>
        <w:rPr>
          <w:rStyle w:val="C3"/>
          <w:rtl w:val="0"/>
        </w:rPr>
      </w:pPr>
    </w:p>
    <w:p>
      <w:pPr>
        <w:pStyle w:val="P13"/>
        <w:framePr w:w="6658" w:h="249" w:hRule="exact" w:wrap="none" w:vAnchor="page" w:hAnchor="margin" w:x="71" w:y="15100"/>
        <w:rPr>
          <w:rStyle w:val="C11"/>
          <w:rtl w:val="0"/>
        </w:rPr>
      </w:pPr>
      <w:r>
        <w:rPr>
          <w:rStyle w:val="C11"/>
          <w:rtl w:val="0"/>
        </w:rPr>
        <w:t>i) Popsat pojem "hot spot"</w:t>
      </w:r>
    </w:p>
    <w:p>
      <w:pPr>
        <w:pStyle w:val="P28"/>
        <w:framePr w:w="3921" w:h="376" w:hRule="exact" w:wrap="none" w:vAnchor="page" w:hAnchor="margin" w:x="6800" w:y="15044"/>
        <w:rPr>
          <w:rStyle w:val="C3"/>
          <w:rtl w:val="0"/>
        </w:rPr>
      </w:pPr>
    </w:p>
    <w:p>
      <w:pPr>
        <w:pStyle w:val="P29"/>
        <w:framePr w:w="3839" w:h="249" w:hRule="exact" w:wrap="none" w:vAnchor="page" w:hAnchor="margin" w:x="6856" w:y="15100"/>
        <w:rPr>
          <w:rStyle w:val="C21"/>
          <w:rtl w:val="0"/>
        </w:rPr>
      </w:pPr>
      <w:r>
        <w:rPr>
          <w:rStyle w:val="C21"/>
          <w:rtl w:val="0"/>
        </w:rPr>
        <w:t>Písemné a ústní ověření</w:t>
      </w:r>
    </w:p>
    <w:p>
      <w:pPr>
        <w:pStyle w:val="P32"/>
        <w:framePr w:w="10710" w:h="248" w:hRule="exact" w:wrap="none" w:vAnchor="page" w:hAnchor="margin" w:x="28" w:y="15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1.5.2026 12:58:05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doplňkových aktivit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práci s cenovkami a jejich náležitosti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práce s poškozeným zbožím a systém vratek včetně reportingu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sběr informací v průběhu servisu a další práci s nimi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péče o prodejní a skladové místo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jednotlivé varianty tzv. PROMO akcí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1.5.2026 12:58:05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271"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96" w:hRule="exact" w:wrap="none" w:vAnchor="page" w:hAnchor="margin" w:x="0" w:y="8471"/>
        <w:rPr>
          <w:rStyle w:val="C3"/>
          <w:rtl w:val="0"/>
        </w:rPr>
      </w:pPr>
    </w:p>
    <w:p>
      <w:pPr>
        <w:pStyle w:val="P35"/>
        <w:framePr w:w="10710" w:h="547" w:hRule="exact" w:wrap="none" w:vAnchor="page" w:hAnchor="margin" w:x="28" w:y="8471"/>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90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praxe jako osoba odpovědná za řízení činností v oblasti marketingu, nebo ve funkci učitele odborných ekonomických předmětů, z toho minimálně jeden rok v období posledních dvou let před podáním žádosti o udělení autorizace.</w:t>
      </w:r>
    </w:p>
    <w:p>
      <w:pPr>
        <w:keepNext w:val="0"/>
        <w:keepLines w:val="1"/>
        <w:framePr w:w="10766" w:h="6849" w:hRule="exact" w:wrap="none" w:vAnchor="page" w:hAnchor="margin" w:x="0" w:y="90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a alespoň 5 let praxe jako osoba odpovědná za řízení činnosti v oblasti marketing, nebo ve funkci učitele odborných ekonomických předmětů, z toho minimálně jeden rok v období posledních dvou let před podáním žádosti o udělení autorizace.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90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90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pro merchandising, 1.5.2026 12:58:05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znalostí je dále nutno zajistit potřebné psací potřeby a tiskopisy pro ověření znalostí v oblasti BOZP a PO, HACCP, legislativy, EMS a certifikačních norem a katalog výrobků pro ověření erientace v katalozích (jednotlivé zkratky jsou popsány výše)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57"/>
        <w:rPr>
          <w:rStyle w:val="C3"/>
          <w:rtl w:val="0"/>
        </w:rPr>
      </w:pPr>
    </w:p>
    <w:p>
      <w:pPr>
        <w:pStyle w:val="P35"/>
        <w:framePr w:w="10710" w:h="340" w:hRule="exact" w:wrap="none" w:vAnchor="page" w:hAnchor="margin" w:x="28" w:y="7257"/>
        <w:rPr>
          <w:rStyle w:val="C25"/>
          <w:rtl w:val="0"/>
        </w:rPr>
      </w:pPr>
      <w:r>
        <w:rPr>
          <w:rStyle w:val="C25"/>
          <w:rtl w:val="0"/>
        </w:rPr>
        <w:t>Doba přípravy na zkoušku</w:t>
      </w:r>
    </w:p>
    <w:p>
      <w:pPr>
        <w:keepNext w:val="0"/>
        <w:keepLines w:val="0"/>
        <w:framePr w:w="10766" w:h="1036" w:hRule="exact" w:wrap="none" w:vAnchor="page" w:hAnchor="margin" w:x="0" w:y="7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pro vykonání zkoušky</w:t>
      </w:r>
    </w:p>
    <w:p>
      <w:pPr>
        <w:keepNext w:val="0"/>
        <w:keepLines w:val="0"/>
        <w:framePr w:w="10766" w:h="80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Specialista pro merchandising, 1.5.2026 12:58:05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pro merchandising, 1.5.2026 12:58:05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7CF5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ECA9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