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2E558" Type="http://schemas.openxmlformats.org/officeDocument/2006/relationships/officeDocument" Target="/word/document.xml" /><Relationship Id="coreR7DA2E558" Type="http://schemas.openxmlformats.org/package/2006/relationships/metadata/core-properties" Target="/docProps/core.xml" /><Relationship Id="customR7DA2E5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metod merchandisingu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Využítí merchandisingu v obchodě, ve sportu a v médiích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Aplikování  merchandisingu  při vystavování zboží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doplňkových aktivit merchandisingu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na výpočetní technice při spouštění software plánogramu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na internetovém vyhledavači při vyhledávání modelových řešení regálového uložení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obsluhu technického a softwarového vybavení oddělení merchandisingu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Vytvořit plánogram části obchodní jednotky - ručně/s použitím příslušného software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 xml:space="preserve"> Je třeba splnit všechna kritéria.</w:t>
      </w:r>
    </w:p>
    <w:p>
      <w:pPr>
        <w:pStyle w:val="P23"/>
        <w:framePr w:w="10710" w:h="340" w:hRule="exact" w:wrap="none" w:vAnchor="page" w:hAnchor="margin" w:x="28" w:y="6504"/>
        <w:rPr>
          <w:rStyle w:val="C18"/>
          <w:rtl w:val="0"/>
        </w:rPr>
      </w:pPr>
      <w:r>
        <w:rPr>
          <w:rStyle w:val="C18"/>
          <w:rtl w:val="0"/>
        </w:rPr>
        <w:t>Orientace v příslušné obchodní legislativě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Uvést zdroje přístupu k potřebné platné oborové legislativě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Uvést zásady hodnocení kvality dodávek výrobků a dodavatelů - EMS</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Uvést základní zásady BOZP a PO pro uskladnění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Popsat zásady metody kritických bodů - HACCP</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 katalogu výrobků a zboží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základní certifikační normu jakosti vybraného výrobku a požadavky na jeho skladování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metody komunikace s obchodním partnerem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Sestavit nabídku podle druhů zboží a sortimentu na základě požadavků zákazníka</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pojem "merchandising"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výraz "senzorický merchandising"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výraz "face-out merchandising"</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výraz "cross-merchandising"</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výraz "vertikální merchandising"</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výraz "pinball effect"</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výraz "bumerangový efekt"</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Vysvětlit výraz "problém zadní části obchodu"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Písemné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Specifikovat merchandising orientovaný na starší lidi</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Písemné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Specifikovat merchandising orientovaný na děti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Písemné a ústní ověření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Využítí merchandisingu v obchodě, ve sportu a v médiích</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Popsat využítí metod merchandisingu v obchodě</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Písemné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Popsat využítí merchandisingu ve sportu</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Písemné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Popsat využití merchandisingu v médiích</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Písemné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d) Popsat vztah mediálního a sportovního merchandisingu k maloobchodu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Písemné a ústní ověření</w:t>
      </w:r>
    </w:p>
    <w:p>
      <w:pPr>
        <w:pStyle w:val="P12"/>
        <w:framePr w:w="6710" w:h="607" w:hRule="exact" w:wrap="none" w:vAnchor="page" w:hAnchor="margin" w:x="45" w:y="9602"/>
        <w:rPr>
          <w:rStyle w:val="C3"/>
          <w:rtl w:val="0"/>
        </w:rPr>
      </w:pPr>
    </w:p>
    <w:p>
      <w:pPr>
        <w:pStyle w:val="P13"/>
        <w:framePr w:w="6658" w:h="480" w:hRule="exact" w:wrap="none" w:vAnchor="page" w:hAnchor="margin" w:x="71" w:y="9658"/>
        <w:rPr>
          <w:rStyle w:val="C11"/>
          <w:rtl w:val="0"/>
        </w:rPr>
      </w:pPr>
      <w:r>
        <w:rPr>
          <w:rStyle w:val="C11"/>
          <w:rtl w:val="0"/>
        </w:rPr>
        <w:t xml:space="preserve">e) Popsat význam  mediálního a sportovního merchandisingu pro maloobchod</w:t>
      </w:r>
    </w:p>
    <w:p>
      <w:pPr>
        <w:pStyle w:val="P28"/>
        <w:framePr w:w="3921" w:h="607" w:hRule="exact" w:wrap="none" w:vAnchor="page" w:hAnchor="margin" w:x="6800" w:y="9602"/>
        <w:rPr>
          <w:rStyle w:val="C3"/>
          <w:rtl w:val="0"/>
        </w:rPr>
      </w:pPr>
    </w:p>
    <w:p>
      <w:pPr>
        <w:pStyle w:val="P29"/>
        <w:framePr w:w="3839" w:h="480" w:hRule="exact" w:wrap="none" w:vAnchor="page" w:hAnchor="margin" w:x="6856" w:y="9658"/>
        <w:rPr>
          <w:rStyle w:val="C21"/>
          <w:rtl w:val="0"/>
        </w:rPr>
      </w:pPr>
      <w:r>
        <w:rPr>
          <w:rStyle w:val="C21"/>
          <w:rtl w:val="0"/>
        </w:rPr>
        <w:t>Písemné a 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 xml:space="preserve">Aplikování  merchandisingu  při vystavování zboží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Popsat druhy výstavních míst</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Písemné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Předvést základní pravidlo FEFO (First Expired, First Out) při ukládání zboží do regálu</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Popsat využítí listingu při doplňování zboží</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Písemné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Popsat tvorbu a využití plánogramu při doplňování zboží</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Písemné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eliminaci "stockoutu" (výpadku zboží) na prodejní ploše</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Písemné a ústní ověření</w:t>
      </w:r>
    </w:p>
    <w:p>
      <w:pPr>
        <w:pStyle w:val="P16"/>
        <w:framePr w:w="6710" w:h="607" w:hRule="exact" w:wrap="none" w:vAnchor="page" w:hAnchor="margin" w:x="45" w:y="13685"/>
        <w:rPr>
          <w:rStyle w:val="C3"/>
          <w:rtl w:val="0"/>
        </w:rPr>
      </w:pPr>
    </w:p>
    <w:p>
      <w:pPr>
        <w:pStyle w:val="P17"/>
        <w:framePr w:w="6658" w:h="480" w:hRule="exact" w:wrap="none" w:vAnchor="page" w:hAnchor="margin" w:x="71" w:y="13741"/>
        <w:rPr>
          <w:rStyle w:val="C13"/>
          <w:rtl w:val="0"/>
        </w:rPr>
      </w:pPr>
      <w:r>
        <w:rPr>
          <w:rStyle w:val="C13"/>
          <w:rtl w:val="0"/>
        </w:rPr>
        <w:t>f) Popsat způsoby zajištění druhotných vystavení ( tzv. secondery placement a displaye)</w:t>
      </w:r>
    </w:p>
    <w:p>
      <w:pPr>
        <w:pStyle w:val="P30"/>
        <w:framePr w:w="3921" w:h="607" w:hRule="exact" w:wrap="none" w:vAnchor="page" w:hAnchor="margin" w:x="6800" w:y="13685"/>
        <w:rPr>
          <w:rStyle w:val="C3"/>
          <w:rtl w:val="0"/>
        </w:rPr>
      </w:pPr>
    </w:p>
    <w:p>
      <w:pPr>
        <w:pStyle w:val="P31"/>
        <w:framePr w:w="3839" w:h="480" w:hRule="exact" w:wrap="none" w:vAnchor="page" w:hAnchor="margin" w:x="6856" w:y="13741"/>
        <w:rPr>
          <w:rStyle w:val="C22"/>
          <w:rtl w:val="0"/>
        </w:rPr>
      </w:pPr>
      <w:r>
        <w:rPr>
          <w:rStyle w:val="C22"/>
          <w:rtl w:val="0"/>
        </w:rPr>
        <w:t>Písemné a ústní ověření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Popsat způsoby remodelingu v návaznosti na změny plánogramů</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Popsat pojmy denzita a přístupnost výstavního místa</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12"/>
        <w:framePr w:w="6710" w:h="376" w:hRule="exact" w:wrap="none" w:vAnchor="page" w:hAnchor="margin" w:x="45" w:y="15044"/>
        <w:rPr>
          <w:rStyle w:val="C3"/>
          <w:rtl w:val="0"/>
        </w:rPr>
      </w:pPr>
    </w:p>
    <w:p>
      <w:pPr>
        <w:pStyle w:val="P13"/>
        <w:framePr w:w="6658" w:h="249" w:hRule="exact" w:wrap="none" w:vAnchor="page" w:hAnchor="margin" w:x="71" w:y="15100"/>
        <w:rPr>
          <w:rStyle w:val="C11"/>
          <w:rtl w:val="0"/>
        </w:rPr>
      </w:pPr>
      <w:r>
        <w:rPr>
          <w:rStyle w:val="C11"/>
          <w:rtl w:val="0"/>
        </w:rPr>
        <w:t>i) Popsat pojem "hot spot"</w:t>
      </w:r>
    </w:p>
    <w:p>
      <w:pPr>
        <w:pStyle w:val="P28"/>
        <w:framePr w:w="3921" w:h="376" w:hRule="exact" w:wrap="none" w:vAnchor="page" w:hAnchor="margin" w:x="6800" w:y="15044"/>
        <w:rPr>
          <w:rStyle w:val="C3"/>
          <w:rtl w:val="0"/>
        </w:rPr>
      </w:pPr>
    </w:p>
    <w:p>
      <w:pPr>
        <w:pStyle w:val="P29"/>
        <w:framePr w:w="3839" w:h="249" w:hRule="exact" w:wrap="none" w:vAnchor="page" w:hAnchor="margin" w:x="6856" w:y="15100"/>
        <w:rPr>
          <w:rStyle w:val="C21"/>
          <w:rtl w:val="0"/>
        </w:rPr>
      </w:pPr>
      <w:r>
        <w:rPr>
          <w:rStyle w:val="C21"/>
          <w:rtl w:val="0"/>
        </w:rPr>
        <w:t>Písemné a ústní ověření</w:t>
      </w:r>
    </w:p>
    <w:p>
      <w:pPr>
        <w:pStyle w:val="P32"/>
        <w:framePr w:w="10710" w:h="248" w:hRule="exact" w:wrap="none" w:vAnchor="page" w:hAnchor="margin" w:x="28" w:y="15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doplňkových aktivit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práci s cenovkami a jejich náležitosti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práce s poškozeným zbožím a systém vratek včetně reportingu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sběr informací v průběhu servisu a další práci s nimi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péče o prodejní a skladové místo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jednotlivé varianty tzv. PROMO akcí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96" w:hRule="exact" w:wrap="none" w:vAnchor="page" w:hAnchor="margin" w:x="0" w:y="8471"/>
        <w:rPr>
          <w:rStyle w:val="C3"/>
          <w:rtl w:val="0"/>
        </w:rPr>
      </w:pPr>
    </w:p>
    <w:p>
      <w:pPr>
        <w:pStyle w:val="P35"/>
        <w:framePr w:w="10710" w:h="547" w:hRule="exact" w:wrap="none" w:vAnchor="page" w:hAnchor="margin" w:x="28" w:y="8471"/>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praxe jako osoba odpovědná za řízení činností v oblasti marketingu, nebo ve funkci učitele odborných ekonomických předmětů, z toho minimálně jeden rok v období posledních dvou let před podáním žádosti o udělení autorizace.</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a alespoň 5 let praxe jako osoba odpovědná za řízení činnosti v oblasti marketing, nebo ve funkci učitele odborných ekonomických předmětů, z toho minimálně jeden rok v období posledních dvou let před podáním žádosti o udělení autorizace.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znalostí je dále nutno zajistit potřebné psací potřeby a tiskopisy pro ověření znalostí v oblasti BOZP a PO, HACCP, legislativy, EMS a certifikačních norem a katalog výrobků pro ověření erientace v katalozích (jednotlivé zkratky jsou popsány výše)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pro merchandising, 30.10.2026 15:04:48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B02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ECEA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