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E8F3F" Type="http://schemas.openxmlformats.org/officeDocument/2006/relationships/officeDocument" Target="/word/document.xml" /><Relationship Id="coreR66EE8F3F" Type="http://schemas.openxmlformats.org/package/2006/relationships/metadata/core-properties" Target="/docProps/core.xml" /><Relationship Id="customR66EE8F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její používání při montáži ochran proti atmosférickým přepětím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ochran proti atmosférickým přepětím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připojení, opravě nebo pravidelné prověrce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29.10.2026 3:19:54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ochran proti atmosférickým přepětím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provede uchazeč montáž minimálně jednoho prvku přepěťové ochrany. V kritériu c) provede uchazeč pro splnění kritéria montáž minimálně jednoho prvku přepěťové ochrany. V kritériu d) provede uchazeč montáž minimálně jednoho prvku přepěťové ochrany u napájení datových sítí. V kritériu e) uchazeč provede montáž přepěťové ochrany proti atmosférickým výbojům (bleskojistky).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plnění jednotlivých kritérií se hodnotí i volba a použití ochranných a pracovních prostředků.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29.10.2026 3:19:54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29.10.2026 3:19:54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