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69CD37" Type="http://schemas.openxmlformats.org/officeDocument/2006/relationships/officeDocument" Target="/word/document.xml" /><Relationship Id="coreR7969CD37" Type="http://schemas.openxmlformats.org/package/2006/relationships/metadata/core-properties" Target="/docProps/core.xml" /><Relationship Id="customR7969CD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 prvků kabeláže osobních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vznětových a zážehových motorů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příslušenství vznětových a zážehových motorů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pro snižování emisí vznětových a zážehových motorů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pravidelné údržby hnacích agregátů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vznětových a zážehových motorů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řízení a příslušenství motoru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pro snižování emisí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degenerativní a zánětlivá onemocnění pohybového systému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Nemoci cév a nervů horních končetin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endokrinní onemocnění včetně diabetes mellitus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Drogová závislost v anamnéze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prokrvení končetin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Raynaudův syndrom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cév a nervů horních končetin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závažné poruchy vidění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pohybového systému, znemožňující zátěž páteře a trupu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chronická onemocnění pohybového systému, zamezující práci ve vynucené poloze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hnacích agregátů osobních automobilů, kritérium c) - vyčtení paměti závad, pravidla pro vymazání paměti závad, nastavení intervalu servisní prohlídky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mechanických částí vznětových a zážehových motorů osobních automobilů, kritéria b) a c) - motor demontován z vozidla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Renault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29.10.2026 2:23:45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AC32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66CF09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