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AF604" Type="http://schemas.openxmlformats.org/officeDocument/2006/relationships/officeDocument" Target="/word/document.xml" /><Relationship Id="coreR16DAF604" Type="http://schemas.openxmlformats.org/package/2006/relationships/metadata/core-properties" Target="/docProps/core.xml" /><Relationship Id="customR16DAF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Mechanik hnacích agregátů osobních automobilů, 28.4.2026 23:08:10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vznětových a zážehových motorů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a zážehových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pevné části vznětových a zážehových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pohyblivé části vznětových a zážehových motorů</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28.4.2026 23:08:10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mazací a chladicí soustavu vznětového a zážehového motoru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systémy přívodu vzduchu do motoru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palivovou soustavu vznětového a zážehového motoru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systémy řízení zážehového motoru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systémy řízení vznětového motoru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výfukovou soustavu vznětového a zážehového motoru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důvody zavádění systémů pro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vazby systémů pro snižování emisí na řízení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Provádění pravidelné údržby hnacích agregátů osobních vozidel</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Provést základní test řídicí jednotky pomocí sériové diagnostiky u hnacího agregátu</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Zaznamenat servisní prohlídku do dokumentace vozidla</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Provést kontrolu a vyhodnocení naměřených hodnot kompresních tlaků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demontáž, diagnostiku a montáž pevných i pohyblivých částí spalovacího motoru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Provést výměnu rozvodové sady spalovacího motoru</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 a 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28.4.2026 23:08:10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28.4.2026 23:08:10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hnacích agregátů osobních automobilů, kritérium c) - vyčtení paměti závad, pravidla pro vymazání paměti závad, nastavení intervalu servisní prohlídky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mechanických částí vznětových a zážehových motorů osobních automobilů, kritéria b) a c) - motor demontován z vozidla </w:t>
      </w:r>
    </w:p>
    <w:p>
      <w:pPr>
        <w:pStyle w:val="P21"/>
        <w:framePr w:w="7654" w:h="331" w:hRule="exact" w:wrap="none" w:vAnchor="page" w:hAnchor="margin" w:x="28" w:y="15940"/>
        <w:rPr>
          <w:rStyle w:val="C16"/>
          <w:rtl w:val="0"/>
        </w:rPr>
      </w:pPr>
      <w:r>
        <w:rPr>
          <w:rStyle w:val="C16"/>
          <w:rtl w:val="0"/>
        </w:rPr>
        <w:t>Mechanik hnacích agregátů osobních automobilů, 28.4.2026 23:08:10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osobních automobilů, 28.4.2026 23:08:10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zážehovým motorem a start-stop systémem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vznětovým motorem se systémem common rail a turbodmychadlem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dle technické dokumentace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hnacích agregátů osobních automobilů, 28.4.2026 23:08:10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hnacích agregátů osobních automobilů, 28.4.2026 23:08:10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3A1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8433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F8364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1949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