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FF35D0" Type="http://schemas.openxmlformats.org/officeDocument/2006/relationships/officeDocument" Target="/word/document.xml" /><Relationship Id="coreR72FF35D0" Type="http://schemas.openxmlformats.org/package/2006/relationships/metadata/core-properties" Target="/docProps/core.xml" /><Relationship Id="customR72FF35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 prvků kabeláže osobních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jízdní stability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podvozků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činnosti brzdových systémů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řízení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pravidelných servisních kontrol a údržby podvozkových systémů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oprava náprav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tlumičů, pérování a stabilizátorů náprav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řízení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brzdové soustavy osobních vozidel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Oprava kolových brzd osobních vozidel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seřizování geometrie osobních vozidel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27.10.2026 4:38:09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http://katalog.nsp.cz/karta_tp.aspx?id_jp=30740&amp;kod_sm1=37).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pravidelnou servisní kontrolu a údržbu podvozkových systémů osobních automobilů. c. - vyčtení paměti závad, pravidla pro vymazání paměti závad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27.10.2026 4:38:09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27.10.2026 4:38:09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