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1FB91" Type="http://schemas.openxmlformats.org/officeDocument/2006/relationships/officeDocument" Target="/word/document.xml" /><Relationship Id="coreR6DA1FB91" Type="http://schemas.openxmlformats.org/package/2006/relationships/metadata/core-properties" Target="/docProps/core.xml" /><Relationship Id="customR6DA1FB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znečišťujících látek z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2.11.2026 9:16:18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apod.). Bude se hodnotit schopnost uchazeče vyhledat požadovaný dokument, orientovat se v něm a vysvětlit jeho účel.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budet posuzována schopnost uchazeče využívat předpisy, návody a dokumenty v reálných podmínkách, a to z hlediska jejich účelu, ochrany životního prostředí a bezpečnosti práce. Modelové/vzorové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Odlučování znečišťujících látek z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soubor nejméně pěti vzorků nejčastěji používaných materiálů, které slouží jako filtrační materiály pro odstranění tuhých částic.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Odlučování znečišťujících látek z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soubor nejméně pěti vzorků nejčastěji používaných materiálů, které slouží jako adsorbéry plynných emisí.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požadavků bezpečnostních předpisů na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osobních ochranných pracovních prostředků.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podle orientace uchazeče zpřesnit zaměření zkoušky na vybrané (určené) technologie ochrany ovzduší.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2.11.2026 9:16:18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2.11.2026 9:16:18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3369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79D0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8186EC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