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CE666C" Type="http://schemas.openxmlformats.org/officeDocument/2006/relationships/officeDocument" Target="/word/document.xml" /><Relationship Id="coreR20CE666C" Type="http://schemas.openxmlformats.org/package/2006/relationships/metadata/core-properties" Target="/docProps/core.xml" /><Relationship Id="customR20CE66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malírenské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malírenská dekorace, 13.6.2026 11:18:58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2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malírenské dekoraci keramiky,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Realizace postupu práce při ruční malírenské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21"/>
        <w:framePr w:w="7654" w:h="331" w:hRule="exact" w:wrap="none" w:vAnchor="page" w:hAnchor="margin" w:x="28" w:y="15940"/>
        <w:rPr>
          <w:rStyle w:val="C16"/>
          <w:rtl w:val="0"/>
        </w:rPr>
      </w:pPr>
      <w:r>
        <w:rPr>
          <w:rStyle w:val="C16"/>
          <w:rtl w:val="0"/>
        </w:rPr>
        <w:t>Dekoratér keramiky – ruční malírenská dekorace, 13.6.2026 11:18:58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ruční malírenská dekorace, 13.6.2026 11:18:58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